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3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C333" w14:textId="77777777" w:rsidR="002575C6" w:rsidRDefault="002575C6">
      <w:pPr>
        <w:autoSpaceDE w:val="0"/>
        <w:autoSpaceDN w:val="0"/>
        <w:adjustRightInd w:val="0"/>
        <w:spacing w:after="100" w:line="240" w:lineRule="auto"/>
        <w:jc w:val="right"/>
        <w:rPr>
          <w:rFonts w:ascii="Times New Roman" w:hAnsi="Times New Roman"/>
          <w:kern w:val="0"/>
        </w:rPr>
      </w:pPr>
      <w:r>
        <w:rPr>
          <w:rFonts w:ascii="Arial" w:hAnsi="Arial" w:cs="Arial"/>
          <w:kern w:val="0"/>
          <w:sz w:val="20"/>
          <w:szCs w:val="20"/>
        </w:rPr>
        <w:t>Charity registration number: 1181244</w:t>
      </w:r>
    </w:p>
    <w:p w14:paraId="2934622E" w14:textId="77777777" w:rsidR="002575C6" w:rsidRDefault="002575C6">
      <w:pPr>
        <w:autoSpaceDE w:val="0"/>
        <w:autoSpaceDN w:val="0"/>
        <w:adjustRightInd w:val="0"/>
        <w:spacing w:before="367" w:after="100" w:line="240" w:lineRule="auto"/>
        <w:jc w:val="both"/>
        <w:rPr>
          <w:rFonts w:ascii="Times New Roman" w:hAnsi="Times New Roman"/>
          <w:kern w:val="0"/>
        </w:rPr>
      </w:pPr>
    </w:p>
    <w:p w14:paraId="59A752DB"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kern w:val="0"/>
          <w:sz w:val="40"/>
          <w:szCs w:val="40"/>
        </w:rPr>
        <w:t>Bardet-Biedl Syndrome UK</w:t>
      </w:r>
    </w:p>
    <w:p w14:paraId="032274BA"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kern w:val="0"/>
          <w:sz w:val="20"/>
          <w:szCs w:val="20"/>
        </w:rPr>
        <w:t>Annual Report and Financial Statements</w:t>
      </w:r>
    </w:p>
    <w:p w14:paraId="5BE4BCE4" w14:textId="77777777" w:rsidR="002575C6" w:rsidRDefault="002575C6">
      <w:pPr>
        <w:autoSpaceDE w:val="0"/>
        <w:autoSpaceDN w:val="0"/>
        <w:adjustRightInd w:val="0"/>
        <w:spacing w:after="0" w:line="240" w:lineRule="auto"/>
        <w:jc w:val="center"/>
        <w:rPr>
          <w:rFonts w:ascii="Times New Roman" w:hAnsi="Times New Roman"/>
          <w:kern w:val="0"/>
        </w:rPr>
      </w:pPr>
    </w:p>
    <w:p w14:paraId="712F4EF2"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kern w:val="0"/>
          <w:sz w:val="20"/>
          <w:szCs w:val="20"/>
        </w:rPr>
        <w:t>for the Year Ended 31 March 2025</w:t>
      </w:r>
    </w:p>
    <w:p w14:paraId="3EF47BC5" w14:textId="77777777" w:rsidR="002575C6" w:rsidRDefault="002575C6">
      <w:pPr>
        <w:autoSpaceDE w:val="0"/>
        <w:autoSpaceDN w:val="0"/>
        <w:adjustRightInd w:val="0"/>
        <w:spacing w:after="0" w:line="240" w:lineRule="auto"/>
        <w:jc w:val="center"/>
        <w:rPr>
          <w:rFonts w:ascii="Times New Roman" w:hAnsi="Times New Roman"/>
          <w:kern w:val="0"/>
        </w:rPr>
      </w:pPr>
    </w:p>
    <w:p w14:paraId="443D1719" w14:textId="77777777" w:rsidR="002575C6" w:rsidRDefault="002575C6">
      <w:pPr>
        <w:autoSpaceDE w:val="0"/>
        <w:autoSpaceDN w:val="0"/>
        <w:adjustRightInd w:val="0"/>
        <w:spacing w:after="0" w:line="240" w:lineRule="auto"/>
        <w:jc w:val="center"/>
        <w:rPr>
          <w:rFonts w:ascii="Times New Roman" w:hAnsi="Times New Roman"/>
          <w:kern w:val="0"/>
        </w:rPr>
      </w:pPr>
    </w:p>
    <w:p w14:paraId="76ABEE73" w14:textId="77777777" w:rsidR="002575C6" w:rsidRDefault="002575C6">
      <w:pPr>
        <w:autoSpaceDE w:val="0"/>
        <w:autoSpaceDN w:val="0"/>
        <w:adjustRightInd w:val="0"/>
        <w:spacing w:after="0" w:line="240" w:lineRule="auto"/>
        <w:jc w:val="center"/>
        <w:rPr>
          <w:rFonts w:ascii="Times New Roman" w:hAnsi="Times New Roman"/>
          <w:kern w:val="0"/>
        </w:rPr>
      </w:pPr>
    </w:p>
    <w:p w14:paraId="3CE79FD9" w14:textId="77777777" w:rsidR="002575C6" w:rsidRDefault="002575C6">
      <w:pPr>
        <w:widowControl w:val="0"/>
        <w:autoSpaceDE w:val="0"/>
        <w:autoSpaceDN w:val="0"/>
        <w:adjustRightInd w:val="0"/>
        <w:spacing w:after="0" w:line="240" w:lineRule="auto"/>
        <w:jc w:val="distribute"/>
        <w:rPr>
          <w:rFonts w:ascii="Times New Roman" w:hAnsi="Times New Roman"/>
          <w:kern w:val="0"/>
        </w:rPr>
        <w:sectPr w:rsidR="002575C6">
          <w:footerReference w:type="default" r:id="rId6"/>
          <w:pgSz w:w="11909" w:h="16834"/>
          <w:pgMar w:top="1440" w:right="1440" w:bottom="1440" w:left="1440" w:header="720" w:footer="720" w:gutter="0"/>
          <w:cols w:space="720"/>
          <w:noEndnote/>
        </w:sectPr>
      </w:pPr>
    </w:p>
    <w:p w14:paraId="1CEC1B3B"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28DD6048"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Contents</w:t>
      </w:r>
    </w:p>
    <w:tbl>
      <w:tblPr>
        <w:tblW w:w="0" w:type="auto"/>
        <w:tblLayout w:type="fixed"/>
        <w:tblCellMar>
          <w:left w:w="0" w:type="dxa"/>
          <w:right w:w="0" w:type="dxa"/>
        </w:tblCellMar>
        <w:tblLook w:val="0000" w:firstRow="0" w:lastRow="0" w:firstColumn="0" w:lastColumn="0" w:noHBand="0" w:noVBand="0"/>
      </w:tblPr>
      <w:tblGrid>
        <w:gridCol w:w="8310"/>
        <w:gridCol w:w="723"/>
      </w:tblGrid>
      <w:tr w:rsidR="002575C6" w14:paraId="301FA663" w14:textId="77777777">
        <w:tblPrEx>
          <w:tblCellMar>
            <w:top w:w="0" w:type="dxa"/>
            <w:left w:w="0" w:type="dxa"/>
            <w:bottom w:w="0" w:type="dxa"/>
            <w:right w:w="0" w:type="dxa"/>
          </w:tblCellMar>
        </w:tblPrEx>
        <w:tc>
          <w:tcPr>
            <w:tcW w:w="8310" w:type="dxa"/>
            <w:tcBorders>
              <w:top w:val="nil"/>
              <w:left w:val="nil"/>
              <w:bottom w:val="nil"/>
              <w:right w:val="nil"/>
            </w:tcBorders>
            <w:shd w:val="clear" w:color="auto" w:fill="FFFFFF"/>
            <w:vAlign w:val="center"/>
          </w:tcPr>
          <w:p w14:paraId="4FC36653" w14:textId="77777777" w:rsidR="002575C6" w:rsidRDefault="002575C6">
            <w:pPr>
              <w:autoSpaceDE w:val="0"/>
              <w:autoSpaceDN w:val="0"/>
              <w:adjustRightInd w:val="0"/>
              <w:spacing w:before="283" w:after="0" w:line="240" w:lineRule="auto"/>
              <w:jc w:val="both"/>
              <w:rPr>
                <w:rFonts w:ascii="Times New Roman" w:hAnsi="Times New Roman"/>
                <w:kern w:val="0"/>
              </w:rPr>
            </w:pPr>
            <w:r>
              <w:rPr>
                <w:rFonts w:ascii="Arial" w:hAnsi="Arial" w:cs="Arial"/>
                <w:kern w:val="0"/>
                <w:sz w:val="20"/>
                <w:szCs w:val="20"/>
              </w:rPr>
              <w:t>Reference and Administrative Details</w:t>
            </w:r>
          </w:p>
        </w:tc>
        <w:tc>
          <w:tcPr>
            <w:tcW w:w="723" w:type="dxa"/>
            <w:tcBorders>
              <w:top w:val="nil"/>
              <w:left w:val="nil"/>
              <w:bottom w:val="nil"/>
              <w:right w:val="nil"/>
            </w:tcBorders>
            <w:shd w:val="clear" w:color="auto" w:fill="FFFFFF"/>
            <w:vAlign w:val="center"/>
          </w:tcPr>
          <w:p w14:paraId="16395286" w14:textId="77777777" w:rsidR="002575C6" w:rsidRDefault="002575C6">
            <w:pPr>
              <w:autoSpaceDE w:val="0"/>
              <w:autoSpaceDN w:val="0"/>
              <w:adjustRightInd w:val="0"/>
              <w:spacing w:before="283" w:after="0" w:line="240" w:lineRule="auto"/>
              <w:jc w:val="right"/>
              <w:rPr>
                <w:rFonts w:ascii="Times New Roman" w:hAnsi="Times New Roman"/>
                <w:kern w:val="0"/>
              </w:rPr>
            </w:pPr>
            <w:r>
              <w:rPr>
                <w:rFonts w:ascii="Arial" w:hAnsi="Arial" w:cs="Arial"/>
                <w:kern w:val="0"/>
                <w:sz w:val="20"/>
                <w:szCs w:val="20"/>
              </w:rPr>
              <w:t>1</w:t>
            </w:r>
          </w:p>
        </w:tc>
      </w:tr>
      <w:tr w:rsidR="002575C6" w14:paraId="426EED21" w14:textId="77777777">
        <w:tblPrEx>
          <w:tblCellMar>
            <w:top w:w="0" w:type="dxa"/>
            <w:left w:w="0" w:type="dxa"/>
            <w:bottom w:w="0" w:type="dxa"/>
            <w:right w:w="0" w:type="dxa"/>
          </w:tblCellMar>
        </w:tblPrEx>
        <w:tc>
          <w:tcPr>
            <w:tcW w:w="8310" w:type="dxa"/>
            <w:tcBorders>
              <w:top w:val="nil"/>
              <w:left w:val="nil"/>
              <w:bottom w:val="nil"/>
              <w:right w:val="nil"/>
            </w:tcBorders>
            <w:shd w:val="clear" w:color="auto" w:fill="FFFFFF"/>
            <w:vAlign w:val="center"/>
          </w:tcPr>
          <w:p w14:paraId="493EF749" w14:textId="77777777" w:rsidR="002575C6" w:rsidRDefault="002575C6">
            <w:pPr>
              <w:autoSpaceDE w:val="0"/>
              <w:autoSpaceDN w:val="0"/>
              <w:adjustRightInd w:val="0"/>
              <w:spacing w:before="283" w:after="0" w:line="240" w:lineRule="auto"/>
              <w:jc w:val="both"/>
              <w:rPr>
                <w:rFonts w:ascii="Times New Roman" w:hAnsi="Times New Roman"/>
                <w:kern w:val="0"/>
              </w:rPr>
            </w:pPr>
            <w:r>
              <w:rPr>
                <w:rFonts w:ascii="Arial" w:hAnsi="Arial" w:cs="Arial"/>
                <w:kern w:val="0"/>
                <w:sz w:val="20"/>
                <w:szCs w:val="20"/>
              </w:rPr>
              <w:t>Trustees' Report</w:t>
            </w:r>
          </w:p>
        </w:tc>
        <w:tc>
          <w:tcPr>
            <w:tcW w:w="723" w:type="dxa"/>
            <w:tcBorders>
              <w:top w:val="nil"/>
              <w:left w:val="nil"/>
              <w:bottom w:val="nil"/>
              <w:right w:val="nil"/>
            </w:tcBorders>
            <w:shd w:val="clear" w:color="auto" w:fill="FFFFFF"/>
            <w:vAlign w:val="center"/>
          </w:tcPr>
          <w:p w14:paraId="0FA184C3" w14:textId="77777777" w:rsidR="002575C6" w:rsidRDefault="002575C6">
            <w:pPr>
              <w:autoSpaceDE w:val="0"/>
              <w:autoSpaceDN w:val="0"/>
              <w:adjustRightInd w:val="0"/>
              <w:spacing w:before="283" w:after="0" w:line="240" w:lineRule="auto"/>
              <w:jc w:val="right"/>
              <w:rPr>
                <w:rFonts w:ascii="Times New Roman" w:hAnsi="Times New Roman"/>
                <w:kern w:val="0"/>
              </w:rPr>
            </w:pPr>
            <w:r>
              <w:rPr>
                <w:rFonts w:ascii="Arial" w:hAnsi="Arial" w:cs="Arial"/>
                <w:kern w:val="0"/>
                <w:sz w:val="20"/>
                <w:szCs w:val="20"/>
              </w:rPr>
              <w:t>2 to 21</w:t>
            </w:r>
          </w:p>
        </w:tc>
      </w:tr>
      <w:tr w:rsidR="002575C6" w14:paraId="245377DB" w14:textId="77777777">
        <w:tblPrEx>
          <w:tblCellMar>
            <w:top w:w="0" w:type="dxa"/>
            <w:left w:w="0" w:type="dxa"/>
            <w:bottom w:w="0" w:type="dxa"/>
            <w:right w:w="0" w:type="dxa"/>
          </w:tblCellMar>
        </w:tblPrEx>
        <w:tc>
          <w:tcPr>
            <w:tcW w:w="8310" w:type="dxa"/>
            <w:tcBorders>
              <w:top w:val="nil"/>
              <w:left w:val="nil"/>
              <w:bottom w:val="nil"/>
              <w:right w:val="nil"/>
            </w:tcBorders>
            <w:shd w:val="clear" w:color="auto" w:fill="FFFFFF"/>
            <w:vAlign w:val="center"/>
          </w:tcPr>
          <w:p w14:paraId="348BDEFC" w14:textId="77777777" w:rsidR="002575C6" w:rsidRDefault="002575C6">
            <w:pPr>
              <w:autoSpaceDE w:val="0"/>
              <w:autoSpaceDN w:val="0"/>
              <w:adjustRightInd w:val="0"/>
              <w:spacing w:before="283" w:after="0" w:line="240" w:lineRule="auto"/>
              <w:jc w:val="both"/>
              <w:rPr>
                <w:rFonts w:ascii="Times New Roman" w:hAnsi="Times New Roman"/>
                <w:kern w:val="0"/>
              </w:rPr>
            </w:pPr>
            <w:r>
              <w:rPr>
                <w:rFonts w:ascii="Arial" w:hAnsi="Arial" w:cs="Arial"/>
                <w:kern w:val="0"/>
                <w:sz w:val="20"/>
                <w:szCs w:val="20"/>
              </w:rPr>
              <w:t>Independent Examiner's Report</w:t>
            </w:r>
          </w:p>
        </w:tc>
        <w:tc>
          <w:tcPr>
            <w:tcW w:w="723" w:type="dxa"/>
            <w:tcBorders>
              <w:top w:val="nil"/>
              <w:left w:val="nil"/>
              <w:bottom w:val="nil"/>
              <w:right w:val="nil"/>
            </w:tcBorders>
            <w:shd w:val="clear" w:color="auto" w:fill="FFFFFF"/>
            <w:vAlign w:val="center"/>
          </w:tcPr>
          <w:p w14:paraId="74F634C6" w14:textId="77777777" w:rsidR="002575C6" w:rsidRDefault="002575C6">
            <w:pPr>
              <w:autoSpaceDE w:val="0"/>
              <w:autoSpaceDN w:val="0"/>
              <w:adjustRightInd w:val="0"/>
              <w:spacing w:before="283" w:after="0" w:line="240" w:lineRule="auto"/>
              <w:jc w:val="right"/>
              <w:rPr>
                <w:rFonts w:ascii="Times New Roman" w:hAnsi="Times New Roman"/>
                <w:kern w:val="0"/>
              </w:rPr>
            </w:pPr>
            <w:r>
              <w:rPr>
                <w:rFonts w:ascii="Arial" w:hAnsi="Arial" w:cs="Arial"/>
                <w:kern w:val="0"/>
                <w:sz w:val="20"/>
                <w:szCs w:val="20"/>
              </w:rPr>
              <w:t>22</w:t>
            </w:r>
          </w:p>
        </w:tc>
      </w:tr>
      <w:tr w:rsidR="002575C6" w14:paraId="7A208475" w14:textId="77777777">
        <w:tblPrEx>
          <w:tblCellMar>
            <w:top w:w="0" w:type="dxa"/>
            <w:left w:w="0" w:type="dxa"/>
            <w:bottom w:w="0" w:type="dxa"/>
            <w:right w:w="0" w:type="dxa"/>
          </w:tblCellMar>
        </w:tblPrEx>
        <w:tc>
          <w:tcPr>
            <w:tcW w:w="8310" w:type="dxa"/>
            <w:tcBorders>
              <w:top w:val="nil"/>
              <w:left w:val="nil"/>
              <w:bottom w:val="nil"/>
              <w:right w:val="nil"/>
            </w:tcBorders>
            <w:shd w:val="clear" w:color="auto" w:fill="FFFFFF"/>
            <w:vAlign w:val="center"/>
          </w:tcPr>
          <w:p w14:paraId="3129E400" w14:textId="77777777" w:rsidR="002575C6" w:rsidRDefault="002575C6">
            <w:pPr>
              <w:autoSpaceDE w:val="0"/>
              <w:autoSpaceDN w:val="0"/>
              <w:adjustRightInd w:val="0"/>
              <w:spacing w:before="283" w:after="0" w:line="240" w:lineRule="auto"/>
              <w:jc w:val="both"/>
              <w:rPr>
                <w:rFonts w:ascii="Times New Roman" w:hAnsi="Times New Roman"/>
                <w:kern w:val="0"/>
              </w:rPr>
            </w:pPr>
            <w:r>
              <w:rPr>
                <w:rFonts w:ascii="Arial" w:hAnsi="Arial" w:cs="Arial"/>
                <w:kern w:val="0"/>
                <w:sz w:val="20"/>
                <w:szCs w:val="20"/>
              </w:rPr>
              <w:t>Statement of Financial Activities</w:t>
            </w:r>
          </w:p>
        </w:tc>
        <w:tc>
          <w:tcPr>
            <w:tcW w:w="723" w:type="dxa"/>
            <w:tcBorders>
              <w:top w:val="nil"/>
              <w:left w:val="nil"/>
              <w:bottom w:val="nil"/>
              <w:right w:val="nil"/>
            </w:tcBorders>
            <w:shd w:val="clear" w:color="auto" w:fill="FFFFFF"/>
            <w:vAlign w:val="center"/>
          </w:tcPr>
          <w:p w14:paraId="2F1CACDE" w14:textId="77777777" w:rsidR="002575C6" w:rsidRDefault="002575C6">
            <w:pPr>
              <w:autoSpaceDE w:val="0"/>
              <w:autoSpaceDN w:val="0"/>
              <w:adjustRightInd w:val="0"/>
              <w:spacing w:before="283" w:after="0" w:line="240" w:lineRule="auto"/>
              <w:jc w:val="right"/>
              <w:rPr>
                <w:rFonts w:ascii="Times New Roman" w:hAnsi="Times New Roman"/>
                <w:kern w:val="0"/>
              </w:rPr>
            </w:pPr>
            <w:r>
              <w:rPr>
                <w:rFonts w:ascii="Arial" w:hAnsi="Arial" w:cs="Arial"/>
                <w:kern w:val="0"/>
                <w:sz w:val="20"/>
                <w:szCs w:val="20"/>
              </w:rPr>
              <w:t>23</w:t>
            </w:r>
          </w:p>
        </w:tc>
      </w:tr>
      <w:tr w:rsidR="002575C6" w14:paraId="18E4CC6E" w14:textId="77777777">
        <w:tblPrEx>
          <w:tblCellMar>
            <w:top w:w="0" w:type="dxa"/>
            <w:left w:w="0" w:type="dxa"/>
            <w:bottom w:w="0" w:type="dxa"/>
            <w:right w:w="0" w:type="dxa"/>
          </w:tblCellMar>
        </w:tblPrEx>
        <w:tc>
          <w:tcPr>
            <w:tcW w:w="8310" w:type="dxa"/>
            <w:tcBorders>
              <w:top w:val="nil"/>
              <w:left w:val="nil"/>
              <w:bottom w:val="nil"/>
              <w:right w:val="nil"/>
            </w:tcBorders>
            <w:shd w:val="clear" w:color="auto" w:fill="FFFFFF"/>
            <w:vAlign w:val="center"/>
          </w:tcPr>
          <w:p w14:paraId="4C86651A" w14:textId="77777777" w:rsidR="002575C6" w:rsidRDefault="002575C6">
            <w:pPr>
              <w:autoSpaceDE w:val="0"/>
              <w:autoSpaceDN w:val="0"/>
              <w:adjustRightInd w:val="0"/>
              <w:spacing w:before="283" w:after="0" w:line="240" w:lineRule="auto"/>
              <w:jc w:val="both"/>
              <w:rPr>
                <w:rFonts w:ascii="Times New Roman" w:hAnsi="Times New Roman"/>
                <w:kern w:val="0"/>
              </w:rPr>
            </w:pPr>
            <w:r>
              <w:rPr>
                <w:rFonts w:ascii="Arial" w:hAnsi="Arial" w:cs="Arial"/>
                <w:kern w:val="0"/>
                <w:sz w:val="20"/>
                <w:szCs w:val="20"/>
              </w:rPr>
              <w:t>Balance Sheet</w:t>
            </w:r>
          </w:p>
        </w:tc>
        <w:tc>
          <w:tcPr>
            <w:tcW w:w="723" w:type="dxa"/>
            <w:tcBorders>
              <w:top w:val="nil"/>
              <w:left w:val="nil"/>
              <w:bottom w:val="nil"/>
              <w:right w:val="nil"/>
            </w:tcBorders>
            <w:shd w:val="clear" w:color="auto" w:fill="FFFFFF"/>
            <w:vAlign w:val="center"/>
          </w:tcPr>
          <w:p w14:paraId="5AE18629" w14:textId="77777777" w:rsidR="002575C6" w:rsidRDefault="002575C6">
            <w:pPr>
              <w:autoSpaceDE w:val="0"/>
              <w:autoSpaceDN w:val="0"/>
              <w:adjustRightInd w:val="0"/>
              <w:spacing w:before="283" w:after="0" w:line="240" w:lineRule="auto"/>
              <w:jc w:val="right"/>
              <w:rPr>
                <w:rFonts w:ascii="Times New Roman" w:hAnsi="Times New Roman"/>
                <w:kern w:val="0"/>
              </w:rPr>
            </w:pPr>
            <w:r>
              <w:rPr>
                <w:rFonts w:ascii="Arial" w:hAnsi="Arial" w:cs="Arial"/>
                <w:kern w:val="0"/>
                <w:sz w:val="20"/>
                <w:szCs w:val="20"/>
              </w:rPr>
              <w:t>24</w:t>
            </w:r>
          </w:p>
        </w:tc>
      </w:tr>
      <w:tr w:rsidR="002575C6" w14:paraId="1BA4010B" w14:textId="77777777">
        <w:tblPrEx>
          <w:tblCellMar>
            <w:top w:w="0" w:type="dxa"/>
            <w:left w:w="0" w:type="dxa"/>
            <w:bottom w:w="0" w:type="dxa"/>
            <w:right w:w="0" w:type="dxa"/>
          </w:tblCellMar>
        </w:tblPrEx>
        <w:tc>
          <w:tcPr>
            <w:tcW w:w="8310" w:type="dxa"/>
            <w:tcBorders>
              <w:top w:val="nil"/>
              <w:left w:val="nil"/>
              <w:bottom w:val="nil"/>
              <w:right w:val="nil"/>
            </w:tcBorders>
            <w:shd w:val="clear" w:color="auto" w:fill="FFFFFF"/>
            <w:vAlign w:val="center"/>
          </w:tcPr>
          <w:p w14:paraId="1C836344" w14:textId="77777777" w:rsidR="002575C6" w:rsidRDefault="002575C6">
            <w:pPr>
              <w:autoSpaceDE w:val="0"/>
              <w:autoSpaceDN w:val="0"/>
              <w:adjustRightInd w:val="0"/>
              <w:spacing w:before="283" w:after="0" w:line="240" w:lineRule="auto"/>
              <w:jc w:val="both"/>
              <w:rPr>
                <w:rFonts w:ascii="Times New Roman" w:hAnsi="Times New Roman"/>
                <w:kern w:val="0"/>
              </w:rPr>
            </w:pPr>
            <w:r>
              <w:rPr>
                <w:rFonts w:ascii="Arial" w:hAnsi="Arial" w:cs="Arial"/>
                <w:kern w:val="0"/>
                <w:sz w:val="20"/>
                <w:szCs w:val="20"/>
              </w:rPr>
              <w:t>Notes to the Financial Statements</w:t>
            </w:r>
          </w:p>
        </w:tc>
        <w:tc>
          <w:tcPr>
            <w:tcW w:w="723" w:type="dxa"/>
            <w:tcBorders>
              <w:top w:val="nil"/>
              <w:left w:val="nil"/>
              <w:bottom w:val="nil"/>
              <w:right w:val="nil"/>
            </w:tcBorders>
            <w:shd w:val="clear" w:color="auto" w:fill="FFFFFF"/>
            <w:vAlign w:val="center"/>
          </w:tcPr>
          <w:p w14:paraId="7783F03B" w14:textId="77777777" w:rsidR="002575C6" w:rsidRDefault="002575C6">
            <w:pPr>
              <w:autoSpaceDE w:val="0"/>
              <w:autoSpaceDN w:val="0"/>
              <w:adjustRightInd w:val="0"/>
              <w:spacing w:before="283" w:after="0" w:line="240" w:lineRule="auto"/>
              <w:jc w:val="right"/>
              <w:rPr>
                <w:rFonts w:ascii="Times New Roman" w:hAnsi="Times New Roman"/>
                <w:kern w:val="0"/>
              </w:rPr>
            </w:pPr>
            <w:r>
              <w:rPr>
                <w:rFonts w:ascii="Arial" w:hAnsi="Arial" w:cs="Arial"/>
                <w:kern w:val="0"/>
                <w:sz w:val="20"/>
                <w:szCs w:val="20"/>
              </w:rPr>
              <w:t>25 to 38</w:t>
            </w:r>
          </w:p>
        </w:tc>
      </w:tr>
    </w:tbl>
    <w:p w14:paraId="7DC8D557"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7"/>
          <w:pgSz w:w="11909" w:h="16834"/>
          <w:pgMar w:top="1440" w:right="1440" w:bottom="1440" w:left="1440" w:header="720" w:footer="720" w:gutter="0"/>
          <w:cols w:space="720"/>
          <w:noEndnote/>
        </w:sectPr>
      </w:pPr>
    </w:p>
    <w:p w14:paraId="1CAD5C59"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1BC91FB"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Reference and Administrative Details</w:t>
      </w:r>
    </w:p>
    <w:tbl>
      <w:tblPr>
        <w:tblW w:w="0" w:type="auto"/>
        <w:tblLayout w:type="fixed"/>
        <w:tblCellMar>
          <w:left w:w="0" w:type="dxa"/>
          <w:right w:w="0" w:type="dxa"/>
        </w:tblCellMar>
        <w:tblLook w:val="0000" w:firstRow="0" w:lastRow="0" w:firstColumn="0" w:lastColumn="0" w:noHBand="0" w:noVBand="0"/>
      </w:tblPr>
      <w:tblGrid>
        <w:gridCol w:w="3120"/>
        <w:gridCol w:w="5914"/>
      </w:tblGrid>
      <w:tr w:rsidR="002575C6" w14:paraId="00980CF6" w14:textId="77777777">
        <w:tblPrEx>
          <w:tblCellMar>
            <w:top w:w="0" w:type="dxa"/>
            <w:left w:w="0" w:type="dxa"/>
            <w:bottom w:w="0" w:type="dxa"/>
            <w:right w:w="0" w:type="dxa"/>
          </w:tblCellMar>
        </w:tblPrEx>
        <w:tc>
          <w:tcPr>
            <w:tcW w:w="3120" w:type="dxa"/>
            <w:tcBorders>
              <w:top w:val="nil"/>
              <w:left w:val="nil"/>
              <w:bottom w:val="nil"/>
              <w:right w:val="nil"/>
            </w:tcBorders>
            <w:shd w:val="clear" w:color="auto" w:fill="FFFFFF"/>
          </w:tcPr>
          <w:p w14:paraId="7A39273E" w14:textId="77777777" w:rsidR="002575C6" w:rsidRDefault="002575C6">
            <w:pPr>
              <w:autoSpaceDE w:val="0"/>
              <w:autoSpaceDN w:val="0"/>
              <w:adjustRightInd w:val="0"/>
              <w:spacing w:before="113" w:after="100" w:line="240" w:lineRule="auto"/>
              <w:jc w:val="both"/>
              <w:rPr>
                <w:rFonts w:ascii="Times New Roman" w:hAnsi="Times New Roman"/>
                <w:kern w:val="0"/>
              </w:rPr>
            </w:pPr>
            <w:r>
              <w:rPr>
                <w:rFonts w:ascii="Arial" w:hAnsi="Arial" w:cs="Arial"/>
                <w:kern w:val="0"/>
                <w:sz w:val="20"/>
                <w:szCs w:val="20"/>
              </w:rPr>
              <w:t>Trustees:</w:t>
            </w:r>
          </w:p>
        </w:tc>
        <w:tc>
          <w:tcPr>
            <w:tcW w:w="5914" w:type="dxa"/>
            <w:tcBorders>
              <w:top w:val="nil"/>
              <w:left w:val="nil"/>
              <w:bottom w:val="nil"/>
              <w:right w:val="nil"/>
            </w:tcBorders>
            <w:shd w:val="clear" w:color="auto" w:fill="FFFFFF"/>
          </w:tcPr>
          <w:p w14:paraId="7DA36649" w14:textId="77777777" w:rsidR="002575C6" w:rsidRDefault="002575C6">
            <w:pPr>
              <w:autoSpaceDE w:val="0"/>
              <w:autoSpaceDN w:val="0"/>
              <w:adjustRightInd w:val="0"/>
              <w:spacing w:after="0" w:line="240" w:lineRule="auto"/>
              <w:rPr>
                <w:rFonts w:ascii="Times New Roman" w:hAnsi="Times New Roman"/>
                <w:kern w:val="0"/>
              </w:rPr>
            </w:pPr>
          </w:p>
        </w:tc>
      </w:tr>
    </w:tbl>
    <w:p w14:paraId="6435F86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Emma Hughes, Chair (appointed 9 November 2024)</w:t>
      </w:r>
    </w:p>
    <w:p w14:paraId="0586983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Laura Dowswell, Chair (resigned 9 November 2024)</w:t>
      </w:r>
    </w:p>
    <w:p w14:paraId="178AB91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Chetan Meshram, Vice Chair</w:t>
      </w:r>
    </w:p>
    <w:p w14:paraId="3FEBA74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Dianne Hand, Secretary</w:t>
      </w:r>
    </w:p>
    <w:p w14:paraId="4E7C6B2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Tazeem Abbas, Treasurer</w:t>
      </w:r>
    </w:p>
    <w:p w14:paraId="1627079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Liam Wilkie</w:t>
      </w:r>
    </w:p>
    <w:p w14:paraId="725AF89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Rachael Zimbler</w:t>
      </w:r>
    </w:p>
    <w:p w14:paraId="26FF45F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Dr Shehla Mohammed</w:t>
      </w:r>
    </w:p>
    <w:p w14:paraId="2A2C0CD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Gareth Owens</w:t>
      </w:r>
    </w:p>
    <w:p w14:paraId="76F5747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Bilaal Ali (appointed 9 November 2024)</w:t>
      </w:r>
    </w:p>
    <w:p w14:paraId="4181C356"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Stefan Crocker (resigned 9 November 2024)</w:t>
      </w:r>
    </w:p>
    <w:p w14:paraId="2A2F8672" w14:textId="77777777" w:rsidR="002575C6" w:rsidRDefault="002575C6">
      <w:pPr>
        <w:autoSpaceDE w:val="0"/>
        <w:autoSpaceDN w:val="0"/>
        <w:adjustRightInd w:val="0"/>
        <w:spacing w:after="0" w:line="240" w:lineRule="auto"/>
        <w:jc w:val="both"/>
        <w:rPr>
          <w:rFonts w:ascii="Times New Roman" w:hAnsi="Times New Roman"/>
          <w:kern w:val="0"/>
        </w:rPr>
      </w:pPr>
    </w:p>
    <w:p w14:paraId="7C4592D6"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3120"/>
        <w:gridCol w:w="5914"/>
      </w:tblGrid>
      <w:tr w:rsidR="002575C6" w14:paraId="048A698F" w14:textId="77777777">
        <w:tblPrEx>
          <w:tblCellMar>
            <w:top w:w="0" w:type="dxa"/>
            <w:left w:w="0" w:type="dxa"/>
            <w:bottom w:w="0" w:type="dxa"/>
            <w:right w:w="0" w:type="dxa"/>
          </w:tblCellMar>
        </w:tblPrEx>
        <w:tc>
          <w:tcPr>
            <w:tcW w:w="3120" w:type="dxa"/>
            <w:tcBorders>
              <w:top w:val="nil"/>
              <w:left w:val="nil"/>
              <w:bottom w:val="nil"/>
              <w:right w:val="nil"/>
            </w:tcBorders>
            <w:shd w:val="clear" w:color="auto" w:fill="FFFFFF"/>
          </w:tcPr>
          <w:p w14:paraId="141F0A44"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sz w:val="20"/>
                <w:szCs w:val="20"/>
              </w:rPr>
              <w:t>Charity Registration Number</w:t>
            </w:r>
          </w:p>
        </w:tc>
        <w:tc>
          <w:tcPr>
            <w:tcW w:w="5914" w:type="dxa"/>
            <w:tcBorders>
              <w:top w:val="nil"/>
              <w:left w:val="nil"/>
              <w:bottom w:val="nil"/>
              <w:right w:val="nil"/>
            </w:tcBorders>
            <w:shd w:val="clear" w:color="auto" w:fill="FFFFFF"/>
          </w:tcPr>
          <w:p w14:paraId="05D98330" w14:textId="77777777" w:rsidR="002575C6" w:rsidRDefault="002575C6">
            <w:pPr>
              <w:autoSpaceDE w:val="0"/>
              <w:autoSpaceDN w:val="0"/>
              <w:adjustRightInd w:val="0"/>
              <w:spacing w:after="0" w:line="240" w:lineRule="auto"/>
              <w:rPr>
                <w:rFonts w:ascii="Times New Roman" w:hAnsi="Times New Roman"/>
                <w:kern w:val="0"/>
              </w:rPr>
            </w:pPr>
          </w:p>
        </w:tc>
      </w:tr>
    </w:tbl>
    <w:p w14:paraId="4D00515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1181244</w:t>
      </w:r>
    </w:p>
    <w:tbl>
      <w:tblPr>
        <w:tblW w:w="0" w:type="auto"/>
        <w:tblLayout w:type="fixed"/>
        <w:tblCellMar>
          <w:left w:w="0" w:type="dxa"/>
          <w:right w:w="0" w:type="dxa"/>
        </w:tblCellMar>
        <w:tblLook w:val="0000" w:firstRow="0" w:lastRow="0" w:firstColumn="0" w:lastColumn="0" w:noHBand="0" w:noVBand="0"/>
      </w:tblPr>
      <w:tblGrid>
        <w:gridCol w:w="3120"/>
        <w:gridCol w:w="5914"/>
      </w:tblGrid>
      <w:tr w:rsidR="002575C6" w14:paraId="17908156" w14:textId="77777777">
        <w:tblPrEx>
          <w:tblCellMar>
            <w:top w:w="0" w:type="dxa"/>
            <w:left w:w="0" w:type="dxa"/>
            <w:bottom w:w="0" w:type="dxa"/>
            <w:right w:w="0" w:type="dxa"/>
          </w:tblCellMar>
        </w:tblPrEx>
        <w:tc>
          <w:tcPr>
            <w:tcW w:w="3120" w:type="dxa"/>
            <w:tcBorders>
              <w:top w:val="nil"/>
              <w:left w:val="nil"/>
              <w:bottom w:val="nil"/>
              <w:right w:val="nil"/>
            </w:tcBorders>
            <w:shd w:val="clear" w:color="auto" w:fill="FFFFFF"/>
          </w:tcPr>
          <w:p w14:paraId="203E4264"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sz w:val="20"/>
                <w:szCs w:val="20"/>
              </w:rPr>
              <w:t>Principal Office</w:t>
            </w:r>
          </w:p>
        </w:tc>
        <w:tc>
          <w:tcPr>
            <w:tcW w:w="5914" w:type="dxa"/>
            <w:tcBorders>
              <w:top w:val="nil"/>
              <w:left w:val="nil"/>
              <w:bottom w:val="nil"/>
              <w:right w:val="nil"/>
            </w:tcBorders>
            <w:shd w:val="clear" w:color="auto" w:fill="FFFFFF"/>
          </w:tcPr>
          <w:p w14:paraId="0F85B57F" w14:textId="77777777" w:rsidR="002575C6" w:rsidRDefault="002575C6">
            <w:pPr>
              <w:autoSpaceDE w:val="0"/>
              <w:autoSpaceDN w:val="0"/>
              <w:adjustRightInd w:val="0"/>
              <w:spacing w:after="0" w:line="240" w:lineRule="auto"/>
              <w:rPr>
                <w:rFonts w:ascii="Times New Roman" w:hAnsi="Times New Roman"/>
                <w:kern w:val="0"/>
              </w:rPr>
            </w:pPr>
          </w:p>
        </w:tc>
      </w:tr>
    </w:tbl>
    <w:p w14:paraId="1DBE7C90"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43 Balton Way</w:t>
      </w:r>
    </w:p>
    <w:p w14:paraId="2FBD5C42"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Harwich</w:t>
      </w:r>
    </w:p>
    <w:p w14:paraId="0E890F72"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Essex</w:t>
      </w:r>
    </w:p>
    <w:p w14:paraId="3B22361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C012 4UP</w:t>
      </w:r>
    </w:p>
    <w:tbl>
      <w:tblPr>
        <w:tblW w:w="0" w:type="auto"/>
        <w:tblLayout w:type="fixed"/>
        <w:tblCellMar>
          <w:left w:w="0" w:type="dxa"/>
          <w:right w:w="0" w:type="dxa"/>
        </w:tblCellMar>
        <w:tblLook w:val="0000" w:firstRow="0" w:lastRow="0" w:firstColumn="0" w:lastColumn="0" w:noHBand="0" w:noVBand="0"/>
      </w:tblPr>
      <w:tblGrid>
        <w:gridCol w:w="3120"/>
        <w:gridCol w:w="5914"/>
      </w:tblGrid>
      <w:tr w:rsidR="002575C6" w14:paraId="4B9A6771" w14:textId="77777777">
        <w:tblPrEx>
          <w:tblCellMar>
            <w:top w:w="0" w:type="dxa"/>
            <w:left w:w="0" w:type="dxa"/>
            <w:bottom w:w="0" w:type="dxa"/>
            <w:right w:w="0" w:type="dxa"/>
          </w:tblCellMar>
        </w:tblPrEx>
        <w:tc>
          <w:tcPr>
            <w:tcW w:w="3120" w:type="dxa"/>
            <w:tcBorders>
              <w:top w:val="nil"/>
              <w:left w:val="nil"/>
              <w:bottom w:val="nil"/>
              <w:right w:val="nil"/>
            </w:tcBorders>
            <w:shd w:val="clear" w:color="auto" w:fill="FFFFFF"/>
          </w:tcPr>
          <w:p w14:paraId="2A83157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Independent Examiner</w:t>
            </w:r>
          </w:p>
        </w:tc>
        <w:tc>
          <w:tcPr>
            <w:tcW w:w="5914" w:type="dxa"/>
            <w:tcBorders>
              <w:top w:val="nil"/>
              <w:left w:val="nil"/>
              <w:bottom w:val="nil"/>
              <w:right w:val="nil"/>
            </w:tcBorders>
            <w:shd w:val="clear" w:color="auto" w:fill="FFFFFF"/>
          </w:tcPr>
          <w:p w14:paraId="01DB0D50" w14:textId="77777777" w:rsidR="002575C6" w:rsidRDefault="002575C6">
            <w:pPr>
              <w:autoSpaceDE w:val="0"/>
              <w:autoSpaceDN w:val="0"/>
              <w:adjustRightInd w:val="0"/>
              <w:spacing w:after="0" w:line="240" w:lineRule="auto"/>
              <w:rPr>
                <w:rFonts w:ascii="Times New Roman" w:hAnsi="Times New Roman"/>
                <w:kern w:val="0"/>
              </w:rPr>
            </w:pPr>
          </w:p>
        </w:tc>
      </w:tr>
    </w:tbl>
    <w:p w14:paraId="7D7F286D"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Westcotts (SW) LLP</w:t>
      </w:r>
    </w:p>
    <w:p w14:paraId="123ECE4B"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Chartered Accountants &amp; Statutory Auditors</w:t>
      </w:r>
    </w:p>
    <w:p w14:paraId="0E7CCDEB"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47 Boutport Street</w:t>
      </w:r>
    </w:p>
    <w:p w14:paraId="64F46C76"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Barnstaple</w:t>
      </w:r>
    </w:p>
    <w:p w14:paraId="0FF1DEA2"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Devon</w:t>
      </w:r>
    </w:p>
    <w:p w14:paraId="4CF6B8A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EX31 1SQ</w:t>
      </w:r>
    </w:p>
    <w:tbl>
      <w:tblPr>
        <w:tblW w:w="0" w:type="auto"/>
        <w:tblLayout w:type="fixed"/>
        <w:tblCellMar>
          <w:left w:w="0" w:type="dxa"/>
          <w:right w:w="0" w:type="dxa"/>
        </w:tblCellMar>
        <w:tblLook w:val="0000" w:firstRow="0" w:lastRow="0" w:firstColumn="0" w:lastColumn="0" w:noHBand="0" w:noVBand="0"/>
      </w:tblPr>
      <w:tblGrid>
        <w:gridCol w:w="3120"/>
        <w:gridCol w:w="5914"/>
      </w:tblGrid>
      <w:tr w:rsidR="002575C6" w14:paraId="495DCF24" w14:textId="77777777">
        <w:tblPrEx>
          <w:tblCellMar>
            <w:top w:w="0" w:type="dxa"/>
            <w:left w:w="0" w:type="dxa"/>
            <w:bottom w:w="0" w:type="dxa"/>
            <w:right w:w="0" w:type="dxa"/>
          </w:tblCellMar>
        </w:tblPrEx>
        <w:tc>
          <w:tcPr>
            <w:tcW w:w="3120" w:type="dxa"/>
            <w:tcBorders>
              <w:top w:val="nil"/>
              <w:left w:val="nil"/>
              <w:bottom w:val="nil"/>
              <w:right w:val="nil"/>
            </w:tcBorders>
            <w:shd w:val="clear" w:color="auto" w:fill="FFFFFF"/>
          </w:tcPr>
          <w:p w14:paraId="3017BE28"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sz w:val="20"/>
                <w:szCs w:val="20"/>
              </w:rPr>
              <w:t>Bankers</w:t>
            </w:r>
          </w:p>
        </w:tc>
        <w:tc>
          <w:tcPr>
            <w:tcW w:w="5914" w:type="dxa"/>
            <w:tcBorders>
              <w:top w:val="nil"/>
              <w:left w:val="nil"/>
              <w:bottom w:val="nil"/>
              <w:right w:val="nil"/>
            </w:tcBorders>
            <w:shd w:val="clear" w:color="auto" w:fill="FFFFFF"/>
          </w:tcPr>
          <w:p w14:paraId="19E6E14C" w14:textId="77777777" w:rsidR="002575C6" w:rsidRDefault="002575C6">
            <w:pPr>
              <w:autoSpaceDE w:val="0"/>
              <w:autoSpaceDN w:val="0"/>
              <w:adjustRightInd w:val="0"/>
              <w:spacing w:after="0" w:line="240" w:lineRule="auto"/>
              <w:rPr>
                <w:rFonts w:ascii="Times New Roman" w:hAnsi="Times New Roman"/>
                <w:kern w:val="0"/>
              </w:rPr>
            </w:pPr>
          </w:p>
        </w:tc>
      </w:tr>
    </w:tbl>
    <w:p w14:paraId="2EE06A33"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Barclays Bank PLC</w:t>
      </w:r>
    </w:p>
    <w:p w14:paraId="7257035C"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Chelmsford 2</w:t>
      </w:r>
    </w:p>
    <w:p w14:paraId="0F28E2A7"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Leicester</w:t>
      </w:r>
    </w:p>
    <w:p w14:paraId="2E8BC87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LE87 2BB</w:t>
      </w:r>
    </w:p>
    <w:p w14:paraId="4395F54A"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8"/>
          <w:pgSz w:w="11909" w:h="16834"/>
          <w:pgMar w:top="1440" w:right="1440" w:bottom="1440" w:left="1440" w:header="720" w:footer="720" w:gutter="0"/>
          <w:cols w:space="720"/>
          <w:noEndnote/>
        </w:sectPr>
      </w:pPr>
    </w:p>
    <w:p w14:paraId="6AEFE7FB"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10A368B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w:t>
      </w:r>
    </w:p>
    <w:p w14:paraId="67F4265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Trustees present the annual report together with the financial statements of the Charity for the year ended 31 March 2025.</w:t>
      </w:r>
    </w:p>
    <w:p w14:paraId="1C6FC1D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Bardet-Biedl Syndrome</w:t>
      </w:r>
    </w:p>
    <w:p w14:paraId="066CB7C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Bardet-Biedl syndrome is a rare, recessively inherited disorder which affects approximately 1 in 100,000 babies born. Features of the Syndrome include Rod-Cone Dystrophy, an eye disorder, characterised by tunnel vision and night blindness, which often leads to blindness; obesity; renal abnormalities; developmental delay; speech and language difficulties; extra fingers and/or toes and learning difficulties.</w:t>
      </w:r>
    </w:p>
    <w:p w14:paraId="13D29F7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Not all of the features are always present in those diagnosed as having BBS and each one can vary in severity and appearance. The variability in presentation and severity of the Syndrome together with the rarity of the condition (there are approximately 720 diagnosed individuals known to us in the UK) can mean a delayed diagnosis and lack of adequate local health care.</w:t>
      </w:r>
    </w:p>
    <w:p w14:paraId="123B5F3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Vision, Mission, Values</w:t>
      </w:r>
    </w:p>
    <w:p w14:paraId="0AC1489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Vision:</w:t>
      </w:r>
      <w:r>
        <w:rPr>
          <w:rFonts w:ascii="Arial" w:hAnsi="Arial" w:cs="Arial"/>
          <w:kern w:val="0"/>
          <w:sz w:val="20"/>
          <w:szCs w:val="20"/>
        </w:rPr>
        <w:t xml:space="preserve"> Our unique experience, knowledge and understanding of Bardet-Biedl syndrome, will ensure that everyone who accesses our services is supported, connected and informed about BBS and empowered to achieve the best possible outcome.</w:t>
      </w:r>
    </w:p>
    <w:p w14:paraId="340A300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Mission:</w:t>
      </w:r>
      <w:r>
        <w:rPr>
          <w:rFonts w:ascii="Arial" w:hAnsi="Arial" w:cs="Arial"/>
          <w:kern w:val="0"/>
          <w:sz w:val="20"/>
          <w:szCs w:val="20"/>
        </w:rPr>
        <w:t xml:space="preserve"> We are committed to promoting positive health and wellbeing within the BBS community; to improving knowledge and understanding amongst those affected, the medical and educational professionals and the wider public; and to supporting research and raising awareness of Bardet-Biedl syndrome.</w:t>
      </w:r>
    </w:p>
    <w:p w14:paraId="05E25E3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Values:</w:t>
      </w:r>
    </w:p>
    <w:p w14:paraId="5844D7E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Structure, Governance and Management</w:t>
      </w:r>
    </w:p>
    <w:p w14:paraId="641C22D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Charity Structure</w:t>
      </w:r>
    </w:p>
    <w:p w14:paraId="2671957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Bardet-Biedl Syndrome UK (BBS UK), charity number 1181244 is a Charitable Incorporated Organisation (CIO) and was registered with the Charity Commission on the 18/12/2018. BBS UK is the only registered charity supporting people with Bardet-Biedl syndrome, their families, and carers in the UK. The governing document of the Charity is a constitution. The CIO formally represents the incorporation of the unincorporated charity, Bardet-Biedl Syndrome UK (1027384), formerly known as Laurence-Moon-Bardet-Biedl Society (LMBBS) which was established in 1993. The CIO is the successor body to the original charity which was entered into the register of mergers on the 23/12/2020. The Board of Trustees is responsible for the governance of the Charity. The Charity now supports over 720 individuals living with BBS, and their families, carers, and the professionals supporting them across health, education, and social care. Full membership of the Charity is open to any adult who has Bardet-Biedl syndrome and their family, and any family with one or more affected children, including their grandparents and carers.</w:t>
      </w:r>
    </w:p>
    <w:p w14:paraId="6E7F6CF0" w14:textId="77777777" w:rsidR="002575C6" w:rsidRDefault="002575C6">
      <w:pPr>
        <w:widowControl w:val="0"/>
        <w:autoSpaceDE w:val="0"/>
        <w:autoSpaceDN w:val="0"/>
        <w:adjustRightInd w:val="0"/>
        <w:spacing w:after="0" w:line="240" w:lineRule="auto"/>
        <w:jc w:val="distribute"/>
        <w:rPr>
          <w:rFonts w:ascii="Times New Roman" w:hAnsi="Times New Roman"/>
          <w:kern w:val="0"/>
        </w:rPr>
        <w:sectPr w:rsidR="002575C6">
          <w:footerReference w:type="default" r:id="rId9"/>
          <w:pgSz w:w="11909" w:h="16834"/>
          <w:pgMar w:top="1440" w:right="1440" w:bottom="1440" w:left="1440" w:header="720" w:footer="720" w:gutter="0"/>
          <w:cols w:space="720"/>
          <w:noEndnote/>
        </w:sectPr>
      </w:pPr>
    </w:p>
    <w:p w14:paraId="29831F50"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2654F7BC"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24B0BF9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Governance</w:t>
      </w:r>
    </w:p>
    <w:p w14:paraId="2BB1D01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Trustees are elected during the Annual General Meeting (AGM) of the Charity. Trustees serve three-year terms and a trustee who has served for two consecutive terms of three years each may not be re-appointed for a third consecutive term unless approved by members, but may be reappointed after an interval of at least three years. The members or the Trustees may at any time decide to appoint a new trustee in place of a trustee who has retired, been removed, or as an additional trustee.</w:t>
      </w:r>
    </w:p>
    <w:p w14:paraId="5F8958A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New trustees are given an opportunity to observe a board meeting, meet with the Chair of the Board of Trustees and Operations Manager. They are supported with an induction process and are provided with the following:</w:t>
      </w:r>
    </w:p>
    <w:p w14:paraId="331AC50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Honorary Officers of the Charity hold office for one year but are eligible for re-election annually. All trustees give their time freely and receive no remuneration or other benefits, however, reasonable incurred expenses are reimbursed as appropriate.</w:t>
      </w:r>
    </w:p>
    <w:p w14:paraId="2505668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Board seeks to be representative of the people with whom the Charity works and individual trustees have sufficient knowledge, both of trusteeship in general and of the Charity's activities, to enable them to carry out their role and to represent the Charity.</w:t>
      </w:r>
    </w:p>
    <w:p w14:paraId="5B3AF95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Trustees are expected to undertake training to ensure they remain up to date with information and procedures. Courses attended have focused on developing governance skills, and include safeguarding, UK GDPR, recruitment and equality, diversity and inclusion training. The Charity Trustees will make available to each new trustee: a copy of the constitution and any amendments made to it; and a copy of the CIO’s latest Trustees’ Annual Report and Statement of Accounts.</w:t>
      </w:r>
    </w:p>
    <w:p w14:paraId="007D916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NHS Contract</w:t>
      </w:r>
    </w:p>
    <w:p w14:paraId="6C40A2E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Bardet-Biedl Syndrome UK has a contract with NHS England to facilitate the specialist multi-disciplinary clinics, which take place in Great Ormond Street Hospital and St Thomas’ Hospital, London and Birmingham Children’s Hospital and Queen Elizabeth Hospital, Birmingham. The requirements of the contract with the National Specialised Commissioning Team include:</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2CC31A26"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06B5E9B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BD2B053" w14:textId="77777777" w:rsidR="002575C6" w:rsidRDefault="002575C6">
            <w:pPr>
              <w:autoSpaceDE w:val="0"/>
              <w:autoSpaceDN w:val="0"/>
              <w:adjustRightInd w:val="0"/>
              <w:spacing w:after="100" w:line="240" w:lineRule="auto"/>
              <w:rPr>
                <w:rFonts w:ascii="Times New Roman" w:hAnsi="Times New Roman"/>
                <w:kern w:val="0"/>
              </w:rPr>
            </w:pPr>
            <w:r>
              <w:rPr>
                <w:rFonts w:ascii="Arial" w:hAnsi="Arial" w:cs="Arial"/>
                <w:kern w:val="0"/>
                <w:sz w:val="20"/>
                <w:szCs w:val="20"/>
              </w:rPr>
              <w:t>To maximise access to NHS provided services for patients with Bardet-Biedl Syndrome (BBS).</w:t>
            </w:r>
          </w:p>
        </w:tc>
      </w:tr>
      <w:tr w:rsidR="002575C6" w14:paraId="75F4A762"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3CEEDE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489CFC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provide emotional and practical support and advocacy services for patients affected by BBS and their families.</w:t>
            </w:r>
          </w:p>
        </w:tc>
      </w:tr>
      <w:tr w:rsidR="002575C6" w14:paraId="5D8AD025"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45C64D3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38E1A1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provide information relating to services provided for patients with BBS, including relevant health promotion and lifestyle information, to maximise the health and life chances of people living with BBS.</w:t>
            </w:r>
          </w:p>
        </w:tc>
      </w:tr>
    </w:tbl>
    <w:p w14:paraId="316010B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achieve the above, information and support is provided to the patients and their families/carers before, during and after clinics. Accommodation is organised for patients when needed, and assistance is given with travel arrangements. This service provision ensures patients, and their families are well informed about the syndrome and feel well supported to attend their clinic appointment. BBS UK has a presence at each clinic, offering emotional and practical support to patients and their families and ensuring they are aware of all relevant benefits and social support services. Post clinic, ongoing support and liaison services are available.</w:t>
      </w:r>
    </w:p>
    <w:p w14:paraId="4D6DAD7F"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10"/>
          <w:pgSz w:w="11909" w:h="16834"/>
          <w:pgMar w:top="1440" w:right="1440" w:bottom="1440" w:left="1440" w:header="720" w:footer="720" w:gutter="0"/>
          <w:cols w:space="720"/>
          <w:noEndnote/>
        </w:sectPr>
      </w:pPr>
    </w:p>
    <w:p w14:paraId="03A5AE64"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061FF039"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124F6F8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 xml:space="preserve">Environmental Commitment and Carbon Reduction </w:t>
      </w:r>
    </w:p>
    <w:p w14:paraId="0C76906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As a supplier to the NHS, we are committed to supporting the NHS Net Zero agenda and the UK Government’s Procurement Policy Note (PPN 06/21). In the next reporting year, we will publish our first Carbon Reduction Plan, establishing a baseline footprint, covering homeworking and essential travel by our remote team.</w:t>
      </w:r>
    </w:p>
    <w:p w14:paraId="3B8F34C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From this we will set a clear trajectory toward Net Zero by 2045, with interim targets and practical measures already underway, including:</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0FF22EE9"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7FE9BE2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53150B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Prioritising public transport for all NHS-related travel</w:t>
            </w:r>
          </w:p>
        </w:tc>
      </w:tr>
      <w:tr w:rsidR="002575C6" w14:paraId="3022308C"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8FE5D7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1554AC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Reducing reliance on printing and in-person meetings</w:t>
            </w:r>
          </w:p>
        </w:tc>
      </w:tr>
      <w:tr w:rsidR="002575C6" w14:paraId="6C974502"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2AAD418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3B89E2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Promoting energy-efficient homeworking practices</w:t>
            </w:r>
          </w:p>
        </w:tc>
      </w:tr>
    </w:tbl>
    <w:p w14:paraId="023F429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recognise our role in contributing to a more sustainable health and care system and will continue to review and report on our progress annually.</w:t>
      </w:r>
    </w:p>
    <w:p w14:paraId="4FEA147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Additional Governance</w:t>
      </w:r>
    </w:p>
    <w:p w14:paraId="6220C86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Policies and Procedures</w:t>
      </w:r>
    </w:p>
    <w:p w14:paraId="1EB4920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has the following policies in place:</w:t>
      </w:r>
    </w:p>
    <w:p w14:paraId="1052C706"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11"/>
          <w:pgSz w:w="11909" w:h="16834"/>
          <w:pgMar w:top="1440" w:right="1440" w:bottom="1440" w:left="1440" w:header="720" w:footer="720" w:gutter="0"/>
          <w:cols w:space="720"/>
          <w:noEndnote/>
        </w:sectPr>
      </w:pPr>
    </w:p>
    <w:p w14:paraId="52A9F8A9"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5DB5502C"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0FD18D9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has the following Information Security policies in place:</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3D67CCB5"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7531990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AC8336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Bring Your Own Device</w:t>
            </w:r>
          </w:p>
        </w:tc>
      </w:tr>
      <w:tr w:rsidR="002575C6" w14:paraId="09B59E83"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22505A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155F56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Confidentiality</w:t>
            </w:r>
          </w:p>
        </w:tc>
      </w:tr>
      <w:tr w:rsidR="002575C6" w14:paraId="2DC6E7A7"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78EAC6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777E63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Data Protection</w:t>
            </w:r>
          </w:p>
        </w:tc>
      </w:tr>
      <w:tr w:rsidR="002575C6" w14:paraId="06226616"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42B1C33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899FA4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Data Quality</w:t>
            </w:r>
          </w:p>
        </w:tc>
      </w:tr>
      <w:tr w:rsidR="002575C6" w14:paraId="1D6DD1BE"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70B2FEA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DDF5FE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Data Retention and Disposal Schedule</w:t>
            </w:r>
          </w:p>
        </w:tc>
      </w:tr>
      <w:tr w:rsidR="002575C6" w14:paraId="517BCD9F"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91436C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787029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Data Security</w:t>
            </w:r>
          </w:p>
        </w:tc>
      </w:tr>
      <w:tr w:rsidR="002575C6" w14:paraId="40E1C0EC"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58C3A6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FA8917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Email Use</w:t>
            </w:r>
          </w:p>
        </w:tc>
      </w:tr>
      <w:tr w:rsidR="002575C6" w14:paraId="3C95C8E0"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2FB3022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165E1D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Handling of DBS Certificate Information</w:t>
            </w:r>
          </w:p>
        </w:tc>
      </w:tr>
      <w:tr w:rsidR="002575C6" w14:paraId="6ECFC21D"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948161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D833D3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Information Security Reporting and Auditing</w:t>
            </w:r>
          </w:p>
        </w:tc>
      </w:tr>
      <w:tr w:rsidR="002575C6" w14:paraId="2EE5A8B2"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3356C4A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2C306B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Information Sharing</w:t>
            </w:r>
          </w:p>
        </w:tc>
      </w:tr>
      <w:tr w:rsidR="002575C6" w14:paraId="3C7D8EF0"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3B85851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C4E8CD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Privacy Notice</w:t>
            </w:r>
          </w:p>
        </w:tc>
      </w:tr>
      <w:tr w:rsidR="002575C6" w14:paraId="0700B039"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37E1529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A298C8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Subject Access Request.</w:t>
            </w:r>
          </w:p>
        </w:tc>
      </w:tr>
      <w:tr w:rsidR="002575C6" w14:paraId="39662107"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40752F6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AA790A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Record Keeping (Data Retention)</w:t>
            </w:r>
          </w:p>
        </w:tc>
      </w:tr>
    </w:tbl>
    <w:p w14:paraId="1E0DDDC4" w14:textId="77777777" w:rsidR="002575C6" w:rsidRDefault="002575C6">
      <w:pPr>
        <w:autoSpaceDE w:val="0"/>
        <w:autoSpaceDN w:val="0"/>
        <w:adjustRightInd w:val="0"/>
        <w:spacing w:after="0" w:line="240" w:lineRule="auto"/>
        <w:jc w:val="both"/>
        <w:rPr>
          <w:rFonts w:ascii="Times New Roman" w:hAnsi="Times New Roman"/>
          <w:kern w:val="0"/>
        </w:rPr>
      </w:pPr>
    </w:p>
    <w:p w14:paraId="150161F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has the following handbooks in place:</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1C48471C"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7118690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081BD4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Health &amp; Safety Handbook</w:t>
            </w:r>
          </w:p>
        </w:tc>
      </w:tr>
      <w:tr w:rsidR="002575C6" w14:paraId="02F3B96B"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BDCB49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D09FB1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Information Governance Handbook</w:t>
            </w:r>
          </w:p>
        </w:tc>
      </w:tr>
      <w:tr w:rsidR="002575C6" w14:paraId="4AF22B82"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B1CF9B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1A5A68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Staff Handbook</w:t>
            </w:r>
          </w:p>
        </w:tc>
      </w:tr>
    </w:tbl>
    <w:p w14:paraId="477C095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Additional quality assurances</w:t>
      </w:r>
    </w:p>
    <w:p w14:paraId="7C7F689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BBS UK has </w:t>
      </w:r>
      <w:r>
        <w:rPr>
          <w:rFonts w:ascii="Arial" w:hAnsi="Arial" w:cs="Arial"/>
          <w:b/>
          <w:bCs/>
          <w:kern w:val="0"/>
          <w:sz w:val="20"/>
          <w:szCs w:val="20"/>
        </w:rPr>
        <w:t>Cyber Essentials Certification</w:t>
      </w:r>
      <w:r>
        <w:rPr>
          <w:rFonts w:ascii="Arial" w:hAnsi="Arial" w:cs="Arial"/>
          <w:kern w:val="0"/>
          <w:sz w:val="20"/>
          <w:szCs w:val="20"/>
        </w:rPr>
        <w:t xml:space="preserve"> which is an official UK wide government-backed scheme that provides protection against the most common cyber threats and demonstrates our commitment to cyber security.</w:t>
      </w:r>
    </w:p>
    <w:p w14:paraId="3EDC006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BBS UK has completed and published </w:t>
      </w:r>
      <w:r>
        <w:rPr>
          <w:rFonts w:ascii="Arial" w:hAnsi="Arial" w:cs="Arial"/>
          <w:b/>
          <w:bCs/>
          <w:kern w:val="0"/>
          <w:sz w:val="20"/>
          <w:szCs w:val="20"/>
        </w:rPr>
        <w:t>NHS Digital’s Data Security and Protection Toolkit</w:t>
      </w:r>
      <w:r>
        <w:rPr>
          <w:rFonts w:ascii="Arial" w:hAnsi="Arial" w:cs="Arial"/>
          <w:kern w:val="0"/>
          <w:sz w:val="20"/>
          <w:szCs w:val="20"/>
        </w:rPr>
        <w:t>, an online self-assessment tool that allows organisations to measure their performance against the National Data Guardian’s 10 data security standards and to provide assurance they are practising good data security and personal information handling.</w:t>
      </w:r>
    </w:p>
    <w:p w14:paraId="19078AF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BBS UK has achieved </w:t>
      </w:r>
      <w:r>
        <w:rPr>
          <w:rFonts w:ascii="Arial" w:hAnsi="Arial" w:cs="Arial"/>
          <w:b/>
          <w:bCs/>
          <w:kern w:val="0"/>
          <w:sz w:val="20"/>
          <w:szCs w:val="20"/>
        </w:rPr>
        <w:t xml:space="preserve">PIF TICK </w:t>
      </w:r>
      <w:r>
        <w:rPr>
          <w:rFonts w:ascii="Arial" w:hAnsi="Arial" w:cs="Arial"/>
          <w:kern w:val="0"/>
          <w:sz w:val="20"/>
          <w:szCs w:val="20"/>
        </w:rPr>
        <w:t>accreditation following a thorough application and assessment process. The PIF TICK is a mark of quality and demonstrates that our health information has been through a professional and robust production process.</w:t>
      </w:r>
    </w:p>
    <w:p w14:paraId="516A032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Disclosure and Barring Service checks (DBS) are carried out prior to commencement of employment, trusteeship, and volunteering duties, where appropriate and in line with statutory requirements. Child Protection Training and Safeguarding Vulnerable Adults Training is undertaken by those working or volunteering with children, young people and/or vulnerable adults, their line managers and their governing board.</w:t>
      </w:r>
    </w:p>
    <w:p w14:paraId="6B072968"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12"/>
          <w:pgSz w:w="11909" w:h="16834"/>
          <w:pgMar w:top="1440" w:right="1440" w:bottom="1440" w:left="1440" w:header="720" w:footer="720" w:gutter="0"/>
          <w:cols w:space="720"/>
          <w:noEndnote/>
        </w:sectPr>
      </w:pPr>
    </w:p>
    <w:p w14:paraId="0CCC76D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1AF8CE56"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561068B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How we look after and safeguard information</w:t>
      </w:r>
    </w:p>
    <w:p w14:paraId="4E8F475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aims to provide members and patients with the highest quality support and information and to do this we need to collect, process and store information.</w:t>
      </w:r>
    </w:p>
    <w:p w14:paraId="69B1D52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processes and stores information in accordance with:</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3A4BE14F"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664A807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32E825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Data Protection Act 2018 incorporating UK GDPR</w:t>
            </w:r>
          </w:p>
        </w:tc>
      </w:tr>
      <w:tr w:rsidR="002575C6" w14:paraId="72D6D0DB"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0C0F5E0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497139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Human Rights Act 1998</w:t>
            </w:r>
          </w:p>
        </w:tc>
      </w:tr>
      <w:tr w:rsidR="002575C6" w14:paraId="4F347C00"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3617555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8311D0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Common Law Duty of Confidentiality</w:t>
            </w:r>
          </w:p>
        </w:tc>
      </w:tr>
      <w:tr w:rsidR="002575C6" w14:paraId="26A81F6F"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2B85E4A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AA13CD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Caldicott Principles</w:t>
            </w:r>
          </w:p>
        </w:tc>
      </w:tr>
      <w:tr w:rsidR="002575C6" w14:paraId="45D9728B"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ACAAD8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C70FE5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NHS Code of Practice on Confidentiality</w:t>
            </w:r>
          </w:p>
        </w:tc>
      </w:tr>
    </w:tbl>
    <w:p w14:paraId="420C27E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maintains compliance via:</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58500F74"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6764520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EAB2FA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Established and routinely maintained policies and procedures for the effective and secure management of information assets and resources</w:t>
            </w:r>
          </w:p>
        </w:tc>
      </w:tr>
      <w:tr w:rsidR="002575C6" w14:paraId="205168C6"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26DC3A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7F8012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Annual audits of its information and IT security arrangements</w:t>
            </w:r>
          </w:p>
        </w:tc>
      </w:tr>
      <w:tr w:rsidR="002575C6" w14:paraId="314169A1"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6E2D367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78F587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Effective confidentiality and security practices promoted to staff through policies, procedures and training</w:t>
            </w:r>
          </w:p>
        </w:tc>
      </w:tr>
      <w:tr w:rsidR="002575C6" w14:paraId="1260A8B0"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357E194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19BD5A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Incident reporting procedures and monitoring/investigation of all reported instances of actual or potential breaches of confidentiality and security</w:t>
            </w:r>
          </w:p>
        </w:tc>
      </w:tr>
      <w:tr w:rsidR="002575C6" w14:paraId="38DD7A59"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213417D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682896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is registered with the Information Commissioner’s Office (ICO) which ensures BBS UK comply with the Data Protection Act 2018 and GDPR regulations are processing personal information in a fair and transparent manner</w:t>
            </w:r>
          </w:p>
        </w:tc>
      </w:tr>
    </w:tbl>
    <w:p w14:paraId="23AB8AF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For this reporting period, BBS UK reported no breaches in security and no ‘near misses’.</w:t>
      </w:r>
    </w:p>
    <w:p w14:paraId="06FDF48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Objectives and Activities</w:t>
      </w:r>
    </w:p>
    <w:p w14:paraId="579AA2A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strives to bring together through our projects and services, support to our members. BBS UK Trustees have regard to the Charity Commission's public benefit guidance when exercising any powers or duties to which the guidance is relevant. The Trustees always ensure that the projects and services we undertake are in line with our charitable aims and objectives.</w:t>
      </w:r>
    </w:p>
    <w:p w14:paraId="625DCE2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The main </w:t>
      </w:r>
      <w:r>
        <w:rPr>
          <w:rFonts w:ascii="Arial" w:hAnsi="Arial" w:cs="Arial"/>
          <w:b/>
          <w:bCs/>
          <w:kern w:val="0"/>
          <w:sz w:val="20"/>
          <w:szCs w:val="20"/>
        </w:rPr>
        <w:t>objectives</w:t>
      </w:r>
      <w:r>
        <w:rPr>
          <w:rFonts w:ascii="Arial" w:hAnsi="Arial" w:cs="Arial"/>
          <w:kern w:val="0"/>
          <w:sz w:val="20"/>
          <w:szCs w:val="20"/>
        </w:rPr>
        <w:t xml:space="preserve"> of Bardet-Biedl Syndrome UK are:</w:t>
      </w:r>
    </w:p>
    <w:tbl>
      <w:tblPr>
        <w:tblW w:w="0" w:type="auto"/>
        <w:tblLayout w:type="fixed"/>
        <w:tblCellMar>
          <w:left w:w="0" w:type="dxa"/>
          <w:right w:w="0" w:type="dxa"/>
        </w:tblCellMar>
        <w:tblLook w:val="0000" w:firstRow="0" w:lastRow="0" w:firstColumn="0" w:lastColumn="0" w:noHBand="0" w:noVBand="0"/>
      </w:tblPr>
      <w:tblGrid>
        <w:gridCol w:w="567"/>
        <w:gridCol w:w="8466"/>
      </w:tblGrid>
      <w:tr w:rsidR="002575C6" w14:paraId="72AE509C" w14:textId="77777777">
        <w:tblPrEx>
          <w:tblCellMar>
            <w:top w:w="0" w:type="dxa"/>
            <w:left w:w="0" w:type="dxa"/>
            <w:bottom w:w="0" w:type="dxa"/>
            <w:right w:w="0" w:type="dxa"/>
          </w:tblCellMar>
        </w:tblPrEx>
        <w:tc>
          <w:tcPr>
            <w:tcW w:w="567" w:type="dxa"/>
            <w:tcBorders>
              <w:top w:val="nil"/>
              <w:left w:val="nil"/>
              <w:bottom w:val="nil"/>
              <w:right w:val="nil"/>
            </w:tcBorders>
            <w:shd w:val="clear" w:color="auto" w:fill="FFFFFF"/>
          </w:tcPr>
          <w:p w14:paraId="43BBB6C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1.</w:t>
            </w:r>
          </w:p>
        </w:tc>
        <w:tc>
          <w:tcPr>
            <w:tcW w:w="8466" w:type="dxa"/>
            <w:tcBorders>
              <w:top w:val="nil"/>
              <w:left w:val="nil"/>
              <w:bottom w:val="nil"/>
              <w:right w:val="nil"/>
            </w:tcBorders>
            <w:shd w:val="clear" w:color="auto" w:fill="FFFFFF"/>
            <w:vAlign w:val="center"/>
          </w:tcPr>
          <w:p w14:paraId="13605BC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preserve and protect the health and promote the welfare of persons affected by Bardet-Biedl syndrome and their families.</w:t>
            </w:r>
          </w:p>
        </w:tc>
      </w:tr>
      <w:tr w:rsidR="002575C6" w14:paraId="568257A7" w14:textId="77777777">
        <w:tblPrEx>
          <w:tblCellMar>
            <w:top w:w="0" w:type="dxa"/>
            <w:left w:w="0" w:type="dxa"/>
            <w:bottom w:w="0" w:type="dxa"/>
            <w:right w:w="0" w:type="dxa"/>
          </w:tblCellMar>
        </w:tblPrEx>
        <w:tc>
          <w:tcPr>
            <w:tcW w:w="567" w:type="dxa"/>
            <w:tcBorders>
              <w:top w:val="nil"/>
              <w:left w:val="nil"/>
              <w:bottom w:val="nil"/>
              <w:right w:val="nil"/>
            </w:tcBorders>
            <w:shd w:val="clear" w:color="auto" w:fill="FFFFFF"/>
          </w:tcPr>
          <w:p w14:paraId="2457770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2.</w:t>
            </w:r>
          </w:p>
        </w:tc>
        <w:tc>
          <w:tcPr>
            <w:tcW w:w="8466" w:type="dxa"/>
            <w:tcBorders>
              <w:top w:val="nil"/>
              <w:left w:val="nil"/>
              <w:bottom w:val="nil"/>
              <w:right w:val="nil"/>
            </w:tcBorders>
            <w:shd w:val="clear" w:color="auto" w:fill="FFFFFF"/>
            <w:vAlign w:val="center"/>
          </w:tcPr>
          <w:p w14:paraId="4A7DC88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advance the education of the medical and educational professions and the general public about Bardet-Biedl syndrome and its implications for the family, and to promote research for the public benefit in all aspects of that subject and to publish the useful results.</w:t>
            </w:r>
          </w:p>
        </w:tc>
      </w:tr>
    </w:tbl>
    <w:p w14:paraId="61698A7E" w14:textId="77777777" w:rsidR="002575C6" w:rsidRDefault="002575C6">
      <w:pPr>
        <w:autoSpaceDE w:val="0"/>
        <w:autoSpaceDN w:val="0"/>
        <w:adjustRightInd w:val="0"/>
        <w:spacing w:after="0" w:line="240" w:lineRule="auto"/>
        <w:jc w:val="both"/>
        <w:rPr>
          <w:rFonts w:ascii="Times New Roman" w:hAnsi="Times New Roman"/>
          <w:kern w:val="0"/>
        </w:rPr>
      </w:pPr>
    </w:p>
    <w:p w14:paraId="28F2E209"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13"/>
          <w:pgSz w:w="11909" w:h="16834"/>
          <w:pgMar w:top="1440" w:right="1440" w:bottom="1440" w:left="1440" w:header="720" w:footer="720" w:gutter="0"/>
          <w:cols w:space="720"/>
          <w:noEndnote/>
        </w:sectPr>
      </w:pPr>
    </w:p>
    <w:p w14:paraId="08D63A15"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1D7EDDB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270BB3A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The main </w:t>
      </w:r>
      <w:r>
        <w:rPr>
          <w:rFonts w:ascii="Arial" w:hAnsi="Arial" w:cs="Arial"/>
          <w:b/>
          <w:bCs/>
          <w:kern w:val="0"/>
          <w:sz w:val="20"/>
          <w:szCs w:val="20"/>
        </w:rPr>
        <w:t>activities</w:t>
      </w:r>
      <w:r>
        <w:rPr>
          <w:rFonts w:ascii="Arial" w:hAnsi="Arial" w:cs="Arial"/>
          <w:kern w:val="0"/>
          <w:sz w:val="20"/>
          <w:szCs w:val="20"/>
        </w:rPr>
        <w:t xml:space="preserve"> the charity undertakes in pursuance of its objectives for the public benefit are:</w:t>
      </w:r>
    </w:p>
    <w:p w14:paraId="06F709A6" w14:textId="77777777" w:rsidR="002575C6" w:rsidRDefault="002575C6">
      <w:pPr>
        <w:autoSpaceDE w:val="0"/>
        <w:autoSpaceDN w:val="0"/>
        <w:adjustRightInd w:val="0"/>
        <w:spacing w:after="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84"/>
        <w:gridCol w:w="284"/>
        <w:gridCol w:w="8466"/>
      </w:tblGrid>
      <w:tr w:rsidR="002575C6" w14:paraId="685CA8BF"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4E39D6D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1BF385B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Advice Service supporting members with accessing local support across the areas of health, education, social care, and benefits.</w:t>
            </w:r>
          </w:p>
        </w:tc>
      </w:tr>
      <w:tr w:rsidR="002575C6" w14:paraId="09A9BA99"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45C2923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5470E26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Clinic Support Team providing support, facilitation, and advocacy services to NHS multi-disciplinary clinics.</w:t>
            </w:r>
          </w:p>
        </w:tc>
      </w:tr>
      <w:tr w:rsidR="002575C6" w14:paraId="0B6D8377"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4F682FC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6AFD1DC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Information booklets available in multiple formats, including:</w:t>
            </w:r>
          </w:p>
        </w:tc>
      </w:tr>
      <w:tr w:rsidR="002575C6" w14:paraId="6D027E1D"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03592A0D" w14:textId="77777777" w:rsidR="002575C6" w:rsidRDefault="002575C6">
            <w:pPr>
              <w:autoSpaceDE w:val="0"/>
              <w:autoSpaceDN w:val="0"/>
              <w:adjustRightInd w:val="0"/>
              <w:spacing w:after="0" w:line="240" w:lineRule="auto"/>
              <w:rPr>
                <w:rFonts w:ascii="Times New Roman" w:hAnsi="Times New Roman"/>
                <w:kern w:val="0"/>
              </w:rPr>
            </w:pPr>
          </w:p>
        </w:tc>
        <w:tc>
          <w:tcPr>
            <w:tcW w:w="284" w:type="dxa"/>
            <w:tcBorders>
              <w:top w:val="nil"/>
              <w:left w:val="nil"/>
              <w:bottom w:val="nil"/>
              <w:right w:val="nil"/>
            </w:tcBorders>
            <w:shd w:val="clear" w:color="auto" w:fill="FFFFFF"/>
          </w:tcPr>
          <w:p w14:paraId="0EAEE29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466" w:type="dxa"/>
            <w:tcBorders>
              <w:top w:val="nil"/>
              <w:left w:val="nil"/>
              <w:bottom w:val="nil"/>
              <w:right w:val="nil"/>
            </w:tcBorders>
            <w:shd w:val="clear" w:color="auto" w:fill="FFFFFF"/>
            <w:vAlign w:val="center"/>
          </w:tcPr>
          <w:p w14:paraId="663727E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Medical Information Booklet</w:t>
            </w:r>
          </w:p>
        </w:tc>
      </w:tr>
      <w:tr w:rsidR="002575C6" w14:paraId="5D424388"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13AD1D64" w14:textId="77777777" w:rsidR="002575C6" w:rsidRDefault="002575C6">
            <w:pPr>
              <w:autoSpaceDE w:val="0"/>
              <w:autoSpaceDN w:val="0"/>
              <w:adjustRightInd w:val="0"/>
              <w:spacing w:after="0" w:line="240" w:lineRule="auto"/>
              <w:rPr>
                <w:rFonts w:ascii="Times New Roman" w:hAnsi="Times New Roman"/>
                <w:kern w:val="0"/>
              </w:rPr>
            </w:pPr>
          </w:p>
        </w:tc>
        <w:tc>
          <w:tcPr>
            <w:tcW w:w="284" w:type="dxa"/>
            <w:tcBorders>
              <w:top w:val="nil"/>
              <w:left w:val="nil"/>
              <w:bottom w:val="nil"/>
              <w:right w:val="nil"/>
            </w:tcBorders>
            <w:shd w:val="clear" w:color="auto" w:fill="FFFFFF"/>
          </w:tcPr>
          <w:p w14:paraId="734D4CB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466" w:type="dxa"/>
            <w:tcBorders>
              <w:top w:val="nil"/>
              <w:left w:val="nil"/>
              <w:bottom w:val="nil"/>
              <w:right w:val="nil"/>
            </w:tcBorders>
            <w:shd w:val="clear" w:color="auto" w:fill="FFFFFF"/>
            <w:vAlign w:val="center"/>
          </w:tcPr>
          <w:p w14:paraId="7785A61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Introducing Bardet-Biedl Syndrome</w:t>
            </w:r>
          </w:p>
        </w:tc>
      </w:tr>
      <w:tr w:rsidR="002575C6" w14:paraId="3E66EDA7"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52259DA2" w14:textId="77777777" w:rsidR="002575C6" w:rsidRDefault="002575C6">
            <w:pPr>
              <w:autoSpaceDE w:val="0"/>
              <w:autoSpaceDN w:val="0"/>
              <w:adjustRightInd w:val="0"/>
              <w:spacing w:after="0" w:line="240" w:lineRule="auto"/>
              <w:rPr>
                <w:rFonts w:ascii="Times New Roman" w:hAnsi="Times New Roman"/>
                <w:kern w:val="0"/>
              </w:rPr>
            </w:pPr>
          </w:p>
        </w:tc>
        <w:tc>
          <w:tcPr>
            <w:tcW w:w="284" w:type="dxa"/>
            <w:tcBorders>
              <w:top w:val="nil"/>
              <w:left w:val="nil"/>
              <w:bottom w:val="nil"/>
              <w:right w:val="nil"/>
            </w:tcBorders>
            <w:shd w:val="clear" w:color="auto" w:fill="FFFFFF"/>
          </w:tcPr>
          <w:p w14:paraId="081D38E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466" w:type="dxa"/>
            <w:tcBorders>
              <w:top w:val="nil"/>
              <w:left w:val="nil"/>
              <w:bottom w:val="nil"/>
              <w:right w:val="nil"/>
            </w:tcBorders>
            <w:shd w:val="clear" w:color="auto" w:fill="FFFFFF"/>
            <w:vAlign w:val="center"/>
          </w:tcPr>
          <w:p w14:paraId="641CC2B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Booklet for Schools and Colleges</w:t>
            </w:r>
          </w:p>
        </w:tc>
      </w:tr>
      <w:tr w:rsidR="002575C6" w14:paraId="76F549E2"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0DB7ED39" w14:textId="77777777" w:rsidR="002575C6" w:rsidRDefault="002575C6">
            <w:pPr>
              <w:autoSpaceDE w:val="0"/>
              <w:autoSpaceDN w:val="0"/>
              <w:adjustRightInd w:val="0"/>
              <w:spacing w:after="0" w:line="240" w:lineRule="auto"/>
              <w:rPr>
                <w:rFonts w:ascii="Times New Roman" w:hAnsi="Times New Roman"/>
                <w:kern w:val="0"/>
              </w:rPr>
            </w:pPr>
          </w:p>
        </w:tc>
        <w:tc>
          <w:tcPr>
            <w:tcW w:w="284" w:type="dxa"/>
            <w:tcBorders>
              <w:top w:val="nil"/>
              <w:left w:val="nil"/>
              <w:bottom w:val="nil"/>
              <w:right w:val="nil"/>
            </w:tcBorders>
            <w:shd w:val="clear" w:color="auto" w:fill="FFFFFF"/>
          </w:tcPr>
          <w:p w14:paraId="6414571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466" w:type="dxa"/>
            <w:tcBorders>
              <w:top w:val="nil"/>
              <w:left w:val="nil"/>
              <w:bottom w:val="nil"/>
              <w:right w:val="nil"/>
            </w:tcBorders>
            <w:shd w:val="clear" w:color="auto" w:fill="FFFFFF"/>
            <w:vAlign w:val="center"/>
          </w:tcPr>
          <w:p w14:paraId="7B5E97D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My Life, My Future (Transition Handbook)</w:t>
            </w:r>
          </w:p>
        </w:tc>
      </w:tr>
      <w:tr w:rsidR="002575C6" w14:paraId="5CC5CC7B"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3B20575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62C28DC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Annual family conference, bringing beneficiaries together with interested professionals and experts, to provide access to the latest research and to participate in tailored workshops</w:t>
            </w:r>
          </w:p>
        </w:tc>
      </w:tr>
      <w:tr w:rsidR="002575C6" w14:paraId="7700328D"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2B42659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2D3F788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Support given to, and engagement with, the BBS research community</w:t>
            </w:r>
          </w:p>
        </w:tc>
      </w:tr>
      <w:tr w:rsidR="002575C6" w14:paraId="7A56D57D"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DA0450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6886116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website: www.bbsuk.org.uk</w:t>
            </w:r>
          </w:p>
        </w:tc>
      </w:tr>
      <w:tr w:rsidR="002575C6" w14:paraId="368C2C8D"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70490F4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3DDBDBC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Regular newsletters and an annual conference report</w:t>
            </w:r>
          </w:p>
        </w:tc>
      </w:tr>
      <w:tr w:rsidR="002575C6" w14:paraId="04976095"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3A95F85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2664D04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Social media (including Facebook, Twitter, YouTube) to facilitate the development of an online community</w:t>
            </w:r>
          </w:p>
        </w:tc>
      </w:tr>
      <w:tr w:rsidR="002575C6" w14:paraId="074BE03B"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3E60E25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25D8C00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Service User Advisory Board</w:t>
            </w:r>
          </w:p>
        </w:tc>
      </w:tr>
      <w:tr w:rsidR="002575C6" w14:paraId="418BE80D"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04E5EB7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0385DD6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Young People’s Group (YPG)</w:t>
            </w:r>
          </w:p>
        </w:tc>
      </w:tr>
    </w:tbl>
    <w:p w14:paraId="2F520B9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Report from the Chair of BBS UK</w:t>
      </w:r>
    </w:p>
    <w:p w14:paraId="7992B98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Emma Hughes, Chair of BBS UK</w:t>
      </w:r>
    </w:p>
    <w:p w14:paraId="0CE35F0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It is a great honour to present my first Chair’s report for BBS UK. As a small, user-led charity, BBS UK continues to punch well above its weight—delivering life-changing support to individuals and families affected by Bardet-Biedl syndrome across the UK and beyond. The scale and depth of what has been achieved over the past year is nothing short of extraordinary. This success is rooted in the passion, expertise, and unwavering commitment of our staff team, who provide vital information, practical help, and emotional support—often in very complex circumstances. On behalf of the Board, I would like to thank each one of them for their dedication and hard work.</w:t>
      </w:r>
    </w:p>
    <w:p w14:paraId="09C28A2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A Year of Progress and Renewal</w:t>
      </w:r>
    </w:p>
    <w:p w14:paraId="073AF3D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has been a year of transition and renewal at Board level. I’d like to express our sincere gratitude to Laura Dowswell, who stepped down as Chair in November 2024 after 9 years of dedicated service. Laura helped guide the organisation through significant growth, and her legacy is evident in the strength and stability we enjoy today. We also thank Stefan Crocker, who stepped down after 9 years of valued contribution as a trustee, serving as Vice-Chair and Chair in his time. We are very pleased to have welcomed Bilaal Ali to the Board, bringing new perspectives and energy to our work. Staffing changes also brought both challenge and opportunity. We said farewell to Samantha Serido, our Fundraising and Communications Officer, and thank her for her contribution.</w:t>
      </w:r>
    </w:p>
    <w:p w14:paraId="7BA9CB6E"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14"/>
          <w:pgSz w:w="11909" w:h="16834"/>
          <w:pgMar w:top="1440" w:right="1440" w:bottom="1440" w:left="1440" w:header="720" w:footer="720" w:gutter="0"/>
          <w:cols w:space="720"/>
          <w:noEndnote/>
        </w:sectPr>
      </w:pPr>
    </w:p>
    <w:p w14:paraId="3BEE47FA"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3F4C15F7"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64F37DE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Strengthening Our Services</w:t>
      </w:r>
    </w:p>
    <w:p w14:paraId="6C3199D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Thanks to a transformational legacy gift, we are now in the position to expand our Advice Service with the recruitment of two new Advice Workers—ensuring that we can meet growing need and support more individuals and families navigating complex health, social care, and education systems.</w:t>
      </w:r>
    </w:p>
    <w:p w14:paraId="45E8FE7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Clinics Support Service continues to be a cornerstone of what we do. Now in our 15th year, the impact of this service is clear, with the professionalism and empathy of our staff frequently praised by patients, carers, and clinicians alike.</w:t>
      </w:r>
    </w:p>
    <w:p w14:paraId="1677F2A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Counselling Project, in partnership with Rareminds, continues to offer specialist mental health support. This free and confidential service recognises the emotional impact of living with a rare condition.</w:t>
      </w:r>
    </w:p>
    <w:p w14:paraId="12A3CF9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are also proud of the ways we have supported digital inclusion through our IT Fund, helping individuals access education, work, and healthcare through technology—something that is increasingly essential to wellbeing and independence.</w:t>
      </w:r>
    </w:p>
    <w:p w14:paraId="315F000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Together, these services reflect our commitment to holistic, person-centred support—offering both practical help and emotional care when it matters most.</w:t>
      </w:r>
    </w:p>
    <w:p w14:paraId="2490431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Coming Together as a Community</w:t>
      </w:r>
    </w:p>
    <w:p w14:paraId="4D6B891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 real highlight of the year was our Annual Conference in June 2024, which brought together over 130 attendees from across the UK and around the world for a packed programme of expert presentations and inspiring lived experience stories. This online event was a powerful reminder of the strength of our community, and of the importance of staying connected—even at a distance. The overwhelmingly positive feedback showed just how valuable and empowering the event was for so many.</w:t>
      </w:r>
    </w:p>
    <w:p w14:paraId="31767A1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commitment to inclusion also extended beyond our borders. We strengthened our international partnerships, with our Operations Manager, Tonia, representing BBS UK at BBS and rare disease summits in Chicago and Dublin, helping ensure that the voices of patients and families remain central in global conversations around BBS research and treatments.</w:t>
      </w:r>
    </w:p>
    <w:p w14:paraId="2935A1B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Looking Forward</w:t>
      </w:r>
    </w:p>
    <w:p w14:paraId="0988A9A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reporting year also marked the conclusion of our three-year strategic plan. With thoughtful input from all our stakeholders, we are developing a new strategy to take us forward with confidence, sustainability, and clarity. We will continue to champion the voices of those with lived experience, expand our reach, and advocate for improved care and understanding of Bardet-Biedl syndrome.</w:t>
      </w:r>
    </w:p>
    <w:p w14:paraId="5AE1B89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A Final Thank You</w:t>
      </w:r>
    </w:p>
    <w:p w14:paraId="2073974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As I reflect on my first year as Chair, I feel incredibly proud to be part of this vibrant, compassionate, and determined community. To our staff, thank you for your skill and care.</w:t>
      </w:r>
    </w:p>
    <w:p w14:paraId="0D7E720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our members, families, volunteers, fundraisers, and partners, thank you for the trust you place in us and the energy you bring. And to my fellow trustees, thank you for your support and guidance.</w:t>
      </w:r>
    </w:p>
    <w:p w14:paraId="46E85E9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Everything we do is powered by people-people who care deeply, give generously, and believe in a better future for those affected by BBS. Together, we are not only delivering services and support, we are building connections, confidence, and hope.</w:t>
      </w:r>
    </w:p>
    <w:p w14:paraId="5B81929B" w14:textId="77777777" w:rsidR="002575C6" w:rsidRDefault="002575C6">
      <w:pPr>
        <w:widowControl w:val="0"/>
        <w:autoSpaceDE w:val="0"/>
        <w:autoSpaceDN w:val="0"/>
        <w:adjustRightInd w:val="0"/>
        <w:spacing w:after="0" w:line="240" w:lineRule="auto"/>
        <w:jc w:val="distribute"/>
        <w:rPr>
          <w:rFonts w:ascii="Times New Roman" w:hAnsi="Times New Roman"/>
          <w:kern w:val="0"/>
        </w:rPr>
        <w:sectPr w:rsidR="002575C6">
          <w:footerReference w:type="default" r:id="rId15"/>
          <w:pgSz w:w="11909" w:h="16834"/>
          <w:pgMar w:top="1440" w:right="1440" w:bottom="1440" w:left="1440" w:header="720" w:footer="720" w:gutter="0"/>
          <w:cols w:space="720"/>
          <w:noEndnote/>
        </w:sectPr>
      </w:pPr>
    </w:p>
    <w:p w14:paraId="14E236A7"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5575F30"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43EB88F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Achievements and Performance</w:t>
      </w:r>
    </w:p>
    <w:p w14:paraId="3DF1F4A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Aims and Objectives</w:t>
      </w:r>
    </w:p>
    <w:p w14:paraId="06434F6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UK’s strategy sets out our vision, mission and values and establishes our aims and objectives for the period, which are:</w:t>
      </w:r>
    </w:p>
    <w:tbl>
      <w:tblPr>
        <w:tblW w:w="0" w:type="auto"/>
        <w:tblLayout w:type="fixed"/>
        <w:tblCellMar>
          <w:left w:w="0" w:type="dxa"/>
          <w:right w:w="0" w:type="dxa"/>
        </w:tblCellMar>
        <w:tblLook w:val="0000" w:firstRow="0" w:lastRow="0" w:firstColumn="0" w:lastColumn="0" w:noHBand="0" w:noVBand="0"/>
      </w:tblPr>
      <w:tblGrid>
        <w:gridCol w:w="567"/>
        <w:gridCol w:w="8466"/>
      </w:tblGrid>
      <w:tr w:rsidR="002575C6" w14:paraId="61D04260" w14:textId="77777777">
        <w:tblPrEx>
          <w:tblCellMar>
            <w:top w:w="0" w:type="dxa"/>
            <w:left w:w="0" w:type="dxa"/>
            <w:bottom w:w="0" w:type="dxa"/>
            <w:right w:w="0" w:type="dxa"/>
          </w:tblCellMar>
        </w:tblPrEx>
        <w:tc>
          <w:tcPr>
            <w:tcW w:w="567" w:type="dxa"/>
            <w:tcBorders>
              <w:top w:val="nil"/>
              <w:left w:val="nil"/>
              <w:bottom w:val="nil"/>
              <w:right w:val="nil"/>
            </w:tcBorders>
            <w:shd w:val="clear" w:color="auto" w:fill="FFFFFF"/>
          </w:tcPr>
          <w:p w14:paraId="5F493C9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1.</w:t>
            </w:r>
          </w:p>
        </w:tc>
        <w:tc>
          <w:tcPr>
            <w:tcW w:w="8466" w:type="dxa"/>
            <w:tcBorders>
              <w:top w:val="nil"/>
              <w:left w:val="nil"/>
              <w:bottom w:val="nil"/>
              <w:right w:val="nil"/>
            </w:tcBorders>
            <w:shd w:val="clear" w:color="auto" w:fill="FFFFFF"/>
            <w:vAlign w:val="center"/>
          </w:tcPr>
          <w:p w14:paraId="17A64C7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Improve communication with our service users</w:t>
            </w:r>
          </w:p>
        </w:tc>
      </w:tr>
      <w:tr w:rsidR="002575C6" w14:paraId="33266B6F" w14:textId="77777777">
        <w:tblPrEx>
          <w:tblCellMar>
            <w:top w:w="0" w:type="dxa"/>
            <w:left w:w="0" w:type="dxa"/>
            <w:bottom w:w="0" w:type="dxa"/>
            <w:right w:w="0" w:type="dxa"/>
          </w:tblCellMar>
        </w:tblPrEx>
        <w:tc>
          <w:tcPr>
            <w:tcW w:w="567" w:type="dxa"/>
            <w:tcBorders>
              <w:top w:val="nil"/>
              <w:left w:val="nil"/>
              <w:bottom w:val="nil"/>
              <w:right w:val="nil"/>
            </w:tcBorders>
            <w:shd w:val="clear" w:color="auto" w:fill="FFFFFF"/>
          </w:tcPr>
          <w:p w14:paraId="0D8F523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2.</w:t>
            </w:r>
          </w:p>
        </w:tc>
        <w:tc>
          <w:tcPr>
            <w:tcW w:w="8466" w:type="dxa"/>
            <w:tcBorders>
              <w:top w:val="nil"/>
              <w:left w:val="nil"/>
              <w:bottom w:val="nil"/>
              <w:right w:val="nil"/>
            </w:tcBorders>
            <w:shd w:val="clear" w:color="auto" w:fill="FFFFFF"/>
            <w:vAlign w:val="center"/>
          </w:tcPr>
          <w:p w14:paraId="4E51CCB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Develop our support services and reduce isolation</w:t>
            </w:r>
          </w:p>
        </w:tc>
      </w:tr>
      <w:tr w:rsidR="002575C6" w14:paraId="091BEB17" w14:textId="77777777">
        <w:tblPrEx>
          <w:tblCellMar>
            <w:top w:w="0" w:type="dxa"/>
            <w:left w:w="0" w:type="dxa"/>
            <w:bottom w:w="0" w:type="dxa"/>
            <w:right w:w="0" w:type="dxa"/>
          </w:tblCellMar>
        </w:tblPrEx>
        <w:tc>
          <w:tcPr>
            <w:tcW w:w="567" w:type="dxa"/>
            <w:tcBorders>
              <w:top w:val="nil"/>
              <w:left w:val="nil"/>
              <w:bottom w:val="nil"/>
              <w:right w:val="nil"/>
            </w:tcBorders>
            <w:shd w:val="clear" w:color="auto" w:fill="FFFFFF"/>
          </w:tcPr>
          <w:p w14:paraId="63F43F9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3.</w:t>
            </w:r>
          </w:p>
        </w:tc>
        <w:tc>
          <w:tcPr>
            <w:tcW w:w="8466" w:type="dxa"/>
            <w:tcBorders>
              <w:top w:val="nil"/>
              <w:left w:val="nil"/>
              <w:bottom w:val="nil"/>
              <w:right w:val="nil"/>
            </w:tcBorders>
            <w:shd w:val="clear" w:color="auto" w:fill="FFFFFF"/>
            <w:vAlign w:val="center"/>
          </w:tcPr>
          <w:p w14:paraId="2C385B8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Empower our membership to achieve</w:t>
            </w:r>
          </w:p>
        </w:tc>
      </w:tr>
      <w:tr w:rsidR="002575C6" w14:paraId="67130551" w14:textId="77777777">
        <w:tblPrEx>
          <w:tblCellMar>
            <w:top w:w="0" w:type="dxa"/>
            <w:left w:w="0" w:type="dxa"/>
            <w:bottom w:w="0" w:type="dxa"/>
            <w:right w:w="0" w:type="dxa"/>
          </w:tblCellMar>
        </w:tblPrEx>
        <w:tc>
          <w:tcPr>
            <w:tcW w:w="567" w:type="dxa"/>
            <w:tcBorders>
              <w:top w:val="nil"/>
              <w:left w:val="nil"/>
              <w:bottom w:val="nil"/>
              <w:right w:val="nil"/>
            </w:tcBorders>
            <w:shd w:val="clear" w:color="auto" w:fill="FFFFFF"/>
          </w:tcPr>
          <w:p w14:paraId="0F1688C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4.</w:t>
            </w:r>
          </w:p>
        </w:tc>
        <w:tc>
          <w:tcPr>
            <w:tcW w:w="8466" w:type="dxa"/>
            <w:tcBorders>
              <w:top w:val="nil"/>
              <w:left w:val="nil"/>
              <w:bottom w:val="nil"/>
              <w:right w:val="nil"/>
            </w:tcBorders>
            <w:shd w:val="clear" w:color="auto" w:fill="FFFFFF"/>
            <w:vAlign w:val="center"/>
          </w:tcPr>
          <w:p w14:paraId="6E8B0A3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Strengthen governance and raise our profile</w:t>
            </w:r>
          </w:p>
        </w:tc>
      </w:tr>
      <w:tr w:rsidR="002575C6" w14:paraId="16400806" w14:textId="77777777">
        <w:tblPrEx>
          <w:tblCellMar>
            <w:top w:w="0" w:type="dxa"/>
            <w:left w:w="0" w:type="dxa"/>
            <w:bottom w:w="0" w:type="dxa"/>
            <w:right w:w="0" w:type="dxa"/>
          </w:tblCellMar>
        </w:tblPrEx>
        <w:tc>
          <w:tcPr>
            <w:tcW w:w="567" w:type="dxa"/>
            <w:tcBorders>
              <w:top w:val="nil"/>
              <w:left w:val="nil"/>
              <w:bottom w:val="nil"/>
              <w:right w:val="nil"/>
            </w:tcBorders>
            <w:shd w:val="clear" w:color="auto" w:fill="FFFFFF"/>
          </w:tcPr>
          <w:p w14:paraId="5FBFD6A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5.</w:t>
            </w:r>
          </w:p>
        </w:tc>
        <w:tc>
          <w:tcPr>
            <w:tcW w:w="8466" w:type="dxa"/>
            <w:tcBorders>
              <w:top w:val="nil"/>
              <w:left w:val="nil"/>
              <w:bottom w:val="nil"/>
              <w:right w:val="nil"/>
            </w:tcBorders>
            <w:shd w:val="clear" w:color="auto" w:fill="FFFFFF"/>
            <w:vAlign w:val="center"/>
          </w:tcPr>
          <w:p w14:paraId="5D9AC9E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Support research and understanding of BBS</w:t>
            </w:r>
          </w:p>
        </w:tc>
      </w:tr>
    </w:tbl>
    <w:p w14:paraId="318079A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Following, is an overview of progress made towards these targets:</w:t>
      </w:r>
    </w:p>
    <w:p w14:paraId="28C7498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1. Improving communication with our service users</w:t>
      </w:r>
    </w:p>
    <w:p w14:paraId="005D1F7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Database</w:t>
      </w:r>
    </w:p>
    <w:p w14:paraId="0F8D7E3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It is important to us that we reach all members of our community in ways that are accessible and acceptable to them, in line with our data protection responsibilities, and in support of this, we have continued to develop our use of Charitylog (data management system) across all services. This has supported and improved internal and external communications and has improved the quality and accuracy of our data.</w:t>
      </w:r>
    </w:p>
    <w:p w14:paraId="422EBC6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Social Media</w:t>
      </w:r>
    </w:p>
    <w:p w14:paraId="15FD74E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have increased our engagement and reach on social media:</w:t>
      </w:r>
    </w:p>
    <w:p w14:paraId="377B105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have three closed groups; BBS UK, BBS Adults Social and Ireland Regional Group. Some individuals are members in multiple groups. Only statistics from the BBS UK closed group were recorded previously.</w:t>
      </w:r>
    </w:p>
    <w:p w14:paraId="072EE9E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Newsletters</w:t>
      </w:r>
    </w:p>
    <w:p w14:paraId="2DD0B01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have produced two bumper paper editions, also available on CD and in PDF, Word and Plain Text formats, alongside a digital Conference report.</w:t>
      </w:r>
    </w:p>
    <w:p w14:paraId="39FF51E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Website management</w:t>
      </w:r>
    </w:p>
    <w:p w14:paraId="12F5903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BBS UK website is continually updated with new and relevant information. To improve accessibility and keep all our audiences informed, we have integrated a live social media feed directly onto the site. This ensures that even those who do not use social media platforms can stay up to date with our latest news, updates, and community highlights in real time.</w:t>
      </w:r>
    </w:p>
    <w:p w14:paraId="71AB4A06"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16"/>
          <w:pgSz w:w="11909" w:h="16834"/>
          <w:pgMar w:top="1440" w:right="1440" w:bottom="1440" w:left="1440" w:header="720" w:footer="720" w:gutter="0"/>
          <w:cols w:space="720"/>
          <w:noEndnote/>
        </w:sectPr>
      </w:pPr>
    </w:p>
    <w:p w14:paraId="5343CE86"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6B56DEB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7EAC06B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2. Develop our support services and reduce isolation</w:t>
      </w:r>
    </w:p>
    <w:p w14:paraId="288AD00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aspect of our work is of vital importance and following are some of the ways we have met our targets across the year:</w:t>
      </w:r>
    </w:p>
    <w:p w14:paraId="705BA13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Advice Service</w:t>
      </w:r>
    </w:p>
    <w:p w14:paraId="0645954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As we enter the fifth year of the BBS UK Advice Service, demand for support continues to grow. This year, our team has supported </w:t>
      </w:r>
      <w:r>
        <w:rPr>
          <w:rFonts w:ascii="Arial" w:hAnsi="Arial" w:cs="Arial"/>
          <w:b/>
          <w:bCs/>
          <w:kern w:val="0"/>
          <w:sz w:val="20"/>
          <w:szCs w:val="20"/>
        </w:rPr>
        <w:t>125</w:t>
      </w:r>
      <w:r>
        <w:rPr>
          <w:rFonts w:ascii="Arial" w:hAnsi="Arial" w:cs="Arial"/>
          <w:kern w:val="0"/>
          <w:sz w:val="20"/>
          <w:szCs w:val="20"/>
        </w:rPr>
        <w:t xml:space="preserve"> individuals across a wide range of areas, including:</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00CF6D8F"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367D736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5C20F3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Navigating the social care system</w:t>
            </w:r>
          </w:p>
        </w:tc>
      </w:tr>
      <w:tr w:rsidR="002575C6" w14:paraId="75CC12C5"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30AAA49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D7A3EE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Education support and advocacy</w:t>
            </w:r>
          </w:p>
        </w:tc>
      </w:tr>
      <w:tr w:rsidR="002575C6" w14:paraId="1D70F113"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30F918E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F3C0AA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Housing issues</w:t>
            </w:r>
          </w:p>
        </w:tc>
      </w:tr>
      <w:tr w:rsidR="002575C6" w14:paraId="3EE43E92"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0DD21E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E6B212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Accessing benefits</w:t>
            </w:r>
          </w:p>
        </w:tc>
      </w:tr>
      <w:tr w:rsidR="002575C6" w14:paraId="77277B23"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541399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24BF5F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Issues with college transport post-16</w:t>
            </w:r>
          </w:p>
        </w:tc>
      </w:tr>
      <w:tr w:rsidR="002575C6" w14:paraId="019BC741"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40ABE45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D6332A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Future planning for both children and adults with BBS</w:t>
            </w:r>
          </w:p>
        </w:tc>
      </w:tr>
    </w:tbl>
    <w:p w14:paraId="5037C92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Over the past year, we’ve observed that cases are becoming increasingly complex, with local authorities more frequently resisting requests for care and support, beyond the bare minimum. As a result, individual cases are taking longer to resolve, and the overall workload has intensified. In total, we recorded</w:t>
      </w:r>
      <w:r>
        <w:rPr>
          <w:rFonts w:ascii="Arial" w:hAnsi="Arial" w:cs="Arial"/>
          <w:b/>
          <w:bCs/>
          <w:kern w:val="0"/>
          <w:sz w:val="20"/>
          <w:szCs w:val="20"/>
        </w:rPr>
        <w:t xml:space="preserve"> 817</w:t>
      </w:r>
      <w:r>
        <w:rPr>
          <w:rFonts w:ascii="Arial" w:hAnsi="Arial" w:cs="Arial"/>
          <w:kern w:val="0"/>
          <w:sz w:val="20"/>
          <w:szCs w:val="20"/>
        </w:rPr>
        <w:t xml:space="preserve"> contacts through the service this year.</w:t>
      </w:r>
    </w:p>
    <w:p w14:paraId="072BB98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Team Update</w:t>
      </w:r>
    </w:p>
    <w:p w14:paraId="33793A5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At the beginning of the year, Shirin transitioned into her new role as Patient Liaison Officer (PLO) for the London Children’s Clinic. Following a gradual handover, Shirin is now fully focused on her PLO responsibilities and is no longer taking on advice cases, inevitably resulting in an increase in our waiting list.</w:t>
      </w:r>
    </w:p>
    <w:p w14:paraId="4CC12F8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Despite this challenge, 2024 also brought positive developments. We were pleased to host another social work student on a 70-day placement, which concluded successfully:</w:t>
      </w:r>
    </w:p>
    <w:p w14:paraId="2A49C9F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i/>
          <w:iCs/>
          <w:kern w:val="0"/>
          <w:sz w:val="20"/>
          <w:szCs w:val="20"/>
        </w:rPr>
        <w:t>“Rebecca, I came back to say thank you for the guidance you gave me in my first placement. Your recommendations helped me incredibly for the better.”</w:t>
      </w:r>
    </w:p>
    <w:p w14:paraId="6BD5630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i/>
          <w:iCs/>
          <w:kern w:val="0"/>
          <w:sz w:val="20"/>
          <w:szCs w:val="20"/>
        </w:rPr>
        <w:t>- London Metropolitan University, MA Social Work Student, 2024</w:t>
      </w:r>
    </w:p>
    <w:p w14:paraId="744568D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Unfortunately, we have not been able to offer a placement in 2025, but we hope to recommence the student placement programme in 2026.</w:t>
      </w:r>
    </w:p>
    <w:p w14:paraId="25D3399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Thanks to a legacy grant, we have been able to recruit two new advisors, who joined the team in June 2025. We are delighted to welcome Alis and Beatrice, who bring with them a wealth of experience in social care and education. Their addition will significantly enhance our capacity, streamline processes, and help reduce waiting times for those seeking support. Both are excited to begin working with and supporting the BBS community.</w:t>
      </w:r>
    </w:p>
    <w:p w14:paraId="33557F6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Rareminds Counselling Service – Pilot Project</w:t>
      </w:r>
    </w:p>
    <w:p w14:paraId="720607B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launched a specialised and bespoke counselling service project with Rareminds in June 2024, initially rolling it out as a pilot project in London to help bridge the gap in access to counselling for people with Bardet-Biedl Syndrome (BBS).</w:t>
      </w:r>
    </w:p>
    <w:p w14:paraId="6C63854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Following the success of this pilot, BBS UK is delighted to confirm that we will be expanding counselling support countrywide to more individuals with BBS who meet the eligibility criteria.</w:t>
      </w:r>
    </w:p>
    <w:p w14:paraId="40FD91E5"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17"/>
          <w:pgSz w:w="11909" w:h="16834"/>
          <w:pgMar w:top="1440" w:right="1440" w:bottom="1440" w:left="1440" w:header="720" w:footer="720" w:gutter="0"/>
          <w:cols w:space="720"/>
          <w:noEndnote/>
        </w:sectPr>
      </w:pPr>
    </w:p>
    <w:p w14:paraId="5AD2DD93"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668B330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0530AF1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IT Equipment Scheme</w:t>
      </w:r>
    </w:p>
    <w:p w14:paraId="37B8E2C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continues to run its IT Equipment Project, providing practical and financial support to help individuals purchase essential devices such as laptops, tablets, and computers. The scheme aims to support children and adults in accessing education, medical and social care appointments, and social opportunities—all of which are vital for maintaining both mental and physical health, and for reducing feelings of isolation and loneliness.</w:t>
      </w:r>
    </w:p>
    <w:p w14:paraId="4AE0268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Feedback from recipients highlights the real-life impact of the project:</w:t>
      </w:r>
    </w:p>
    <w:p w14:paraId="14332B7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i/>
          <w:iCs/>
          <w:kern w:val="0"/>
          <w:sz w:val="20"/>
          <w:szCs w:val="20"/>
        </w:rPr>
        <w:t>“… I feel less isolated, and I can take positive steps towards looking for employment.”</w:t>
      </w:r>
    </w:p>
    <w:p w14:paraId="0A182C7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i/>
          <w:iCs/>
          <w:kern w:val="0"/>
          <w:sz w:val="20"/>
          <w:szCs w:val="20"/>
        </w:rPr>
        <w:t>“I am incredibly happy as I can now contact other people, something I was unable to do before. I am going to set up a Facebook account to connect with others.”</w:t>
      </w:r>
    </w:p>
    <w:p w14:paraId="5C6E5A5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are proud to continue offering this vital support and look forward to helping more individuals overcome barriers to connection and opportunity in the coming year.</w:t>
      </w:r>
    </w:p>
    <w:p w14:paraId="108DCE8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Virtual Meet-Ups for Adults with BBS</w:t>
      </w:r>
    </w:p>
    <w:p w14:paraId="2B37ABC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Zoom social meet-ups are especially important for those living with Bardet-Biedl Syndrome (BBS) who may feel isolated or are unable to meet others with similar lived experiences in person—particularly as our community is spread across the UK.</w:t>
      </w:r>
    </w:p>
    <w:p w14:paraId="11C5389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monthly sessions are participant-led, providing a welcoming space for 10 to 15 people to meet online, chat about everyday life, and explore shared topics such as travel, transport, and of course, enjoy the occasional quiz.</w:t>
      </w:r>
    </w:p>
    <w:p w14:paraId="561825F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are incredibly grateful to our facilitator, Maria, and all those who attend, for helping build a warm and inclusive virtual space for the BBS UK community. We look forward to building this project over the year, following on from a successful in person meetup at Conference.</w:t>
      </w:r>
    </w:p>
    <w:p w14:paraId="7776126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Clinics Support Service</w:t>
      </w:r>
    </w:p>
    <w:p w14:paraId="07ADF6A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Clinics Support Service provides support, facilitation, and advocacy services to those attending specialised BBS clinics. Our Patient Liaison Officers (PLO) play an essential role within the NHS multi-disciplinary clinic framework, including facilitating access, advocating for patient-centred care, supporting continuity across services, and maintaining close relationships with healthcare professionals, liaising with patients to maximise health outcomes. The number of new referrals into the service continues to increase year on year and, as demand rises, our team continues to deliver high-level, tailored support to all new service users and their families.</w:t>
      </w:r>
    </w:p>
    <w:p w14:paraId="37DC45B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Across the reporting year, the team logged </w:t>
      </w:r>
      <w:r>
        <w:rPr>
          <w:rFonts w:ascii="Arial" w:hAnsi="Arial" w:cs="Arial"/>
          <w:b/>
          <w:bCs/>
          <w:kern w:val="0"/>
          <w:sz w:val="20"/>
          <w:szCs w:val="20"/>
        </w:rPr>
        <w:t>2,889</w:t>
      </w:r>
      <w:r>
        <w:rPr>
          <w:rFonts w:ascii="Arial" w:hAnsi="Arial" w:cs="Arial"/>
          <w:kern w:val="0"/>
          <w:sz w:val="20"/>
          <w:szCs w:val="20"/>
        </w:rPr>
        <w:t xml:space="preserve"> actions or contacts on behalf of over </w:t>
      </w:r>
      <w:r>
        <w:rPr>
          <w:rFonts w:ascii="Arial" w:hAnsi="Arial" w:cs="Arial"/>
          <w:b/>
          <w:bCs/>
          <w:kern w:val="0"/>
          <w:sz w:val="20"/>
          <w:szCs w:val="20"/>
        </w:rPr>
        <w:t xml:space="preserve">536 </w:t>
      </w:r>
      <w:r>
        <w:rPr>
          <w:rFonts w:ascii="Arial" w:hAnsi="Arial" w:cs="Arial"/>
          <w:kern w:val="0"/>
          <w:sz w:val="20"/>
          <w:szCs w:val="20"/>
        </w:rPr>
        <w:t xml:space="preserve">service users and provided support and facilitation services at approximately </w:t>
      </w:r>
      <w:r>
        <w:rPr>
          <w:rFonts w:ascii="Arial" w:hAnsi="Arial" w:cs="Arial"/>
          <w:b/>
          <w:bCs/>
          <w:kern w:val="0"/>
          <w:sz w:val="20"/>
          <w:szCs w:val="20"/>
        </w:rPr>
        <w:t xml:space="preserve">60 </w:t>
      </w:r>
      <w:r>
        <w:rPr>
          <w:rFonts w:ascii="Arial" w:hAnsi="Arial" w:cs="Arial"/>
          <w:kern w:val="0"/>
          <w:sz w:val="20"/>
          <w:szCs w:val="20"/>
        </w:rPr>
        <w:t>clinics (virtual and face-to-face) across Birmingham and London. The team’s presence at each clinic—from the point of diagnosis onward—ensures that support is accessible and immediate. Our work is consistently highly regarded by NHS colleagues and NHS England and is frequently described as essential to the successful running of the BBS clinics service.</w:t>
      </w:r>
    </w:p>
    <w:p w14:paraId="186AC67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team continues to develop and strengthen its transition service, offering enhanced support for young people and their families as they move from paediatric to adult services. This involves coordination with the adult clinics service to ensure a smooth handover, continuity of care, and a positive first experience in adult services. We work closely with families to ensure each young person is fully prepared for their first adult clinic appointment.</w:t>
      </w:r>
    </w:p>
    <w:p w14:paraId="534D5072" w14:textId="77777777" w:rsidR="002575C6" w:rsidRDefault="002575C6">
      <w:pPr>
        <w:widowControl w:val="0"/>
        <w:autoSpaceDE w:val="0"/>
        <w:autoSpaceDN w:val="0"/>
        <w:adjustRightInd w:val="0"/>
        <w:spacing w:after="0" w:line="240" w:lineRule="auto"/>
        <w:jc w:val="distribute"/>
        <w:rPr>
          <w:rFonts w:ascii="Times New Roman" w:hAnsi="Times New Roman"/>
          <w:kern w:val="0"/>
        </w:rPr>
        <w:sectPr w:rsidR="002575C6">
          <w:footerReference w:type="default" r:id="rId18"/>
          <w:pgSz w:w="11909" w:h="16834"/>
          <w:pgMar w:top="1440" w:right="1440" w:bottom="1440" w:left="1440" w:header="720" w:footer="720" w:gutter="0"/>
          <w:cols w:space="720"/>
          <w:noEndnote/>
        </w:sectPr>
      </w:pPr>
    </w:p>
    <w:p w14:paraId="5814179B"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15DA684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76DE625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PLO team collaborates with local authorities to support the development and integration of Education, Health, and Care (EHC) plans for our young service users. We attend and contribute to key meetings, ensuring that health needs are accurately represented and effectively met within wider care planning structures.</w:t>
      </w:r>
    </w:p>
    <w:p w14:paraId="4C70D1C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team supports service users in understanding and accessing innovative treatments and clinical trials. By facilitating their involvement in this area, we empower individuals to engage in initiatives that could meaningfully enhance their quality of life and overall care experience.</w:t>
      </w:r>
    </w:p>
    <w:p w14:paraId="1F2C44C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Beyond the clinic setting, the Clinics Support Team provides ongoing support between appointments via email and telephone, ensuring continuity of care year-round. We recognise the emotional and psychological impact of living with a rare condition, and work to provide reassurance, empathy, and guidance, especially during key transitions or times of uncertainty.</w:t>
      </w:r>
    </w:p>
    <w:p w14:paraId="0056D0A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team supports not just individuals with BBS, but also their parents, carers, and families, acknowledging the vital role they play in care and decision-making. We offer practical advice and emotional support to help families feel confident and well-informed throughout the care journey.</w:t>
      </w:r>
    </w:p>
    <w:p w14:paraId="1D8F21A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also strive to ensure our services are inclusive and accessible to all. This includes providing culturally sensitive support, addressing language needs, and working to reduce barriers that may prevent engagement with clinic services.</w:t>
      </w:r>
    </w:p>
    <w:p w14:paraId="170C04F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work is rooted in collaborative practice, with strong relationships across the NHS multi-disciplinary team. This integrated approach ensures holistic care and better outcomes for our service users.</w:t>
      </w:r>
    </w:p>
    <w:p w14:paraId="4326C65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Patient evaluation data is consistently high, with </w:t>
      </w:r>
      <w:r>
        <w:rPr>
          <w:rFonts w:ascii="Arial" w:hAnsi="Arial" w:cs="Arial"/>
          <w:b/>
          <w:bCs/>
          <w:kern w:val="0"/>
          <w:sz w:val="20"/>
          <w:szCs w:val="20"/>
        </w:rPr>
        <w:t>93%</w:t>
      </w:r>
      <w:r>
        <w:rPr>
          <w:rFonts w:ascii="Arial" w:hAnsi="Arial" w:cs="Arial"/>
          <w:kern w:val="0"/>
          <w:sz w:val="20"/>
          <w:szCs w:val="20"/>
        </w:rPr>
        <w:t xml:space="preserve"> of patients rating the support received from our team as </w:t>
      </w:r>
      <w:r>
        <w:rPr>
          <w:rFonts w:ascii="Arial" w:hAnsi="Arial" w:cs="Arial"/>
          <w:b/>
          <w:bCs/>
          <w:kern w:val="0"/>
          <w:sz w:val="20"/>
          <w:szCs w:val="20"/>
        </w:rPr>
        <w:t>‘Excellent’</w:t>
      </w:r>
      <w:r>
        <w:rPr>
          <w:rFonts w:ascii="Arial" w:hAnsi="Arial" w:cs="Arial"/>
          <w:kern w:val="0"/>
          <w:sz w:val="20"/>
          <w:szCs w:val="20"/>
        </w:rPr>
        <w:t>. Comments received include:</w:t>
      </w:r>
    </w:p>
    <w:p w14:paraId="4194500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 team of remarkable people who help to reassure and guide you for the next year ahead.”</w:t>
      </w:r>
    </w:p>
    <w:p w14:paraId="71CDD9A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were very helpful and accommodating on managing people’s conditions.”</w:t>
      </w:r>
    </w:p>
    <w:p w14:paraId="0123CAB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“Very good and I felt supported. The clinic has kept me at peace about my BBS.”</w:t>
      </w:r>
    </w:p>
    <w:p w14:paraId="5524897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support provided by BBS UK is a lifeline for us and the clinic is an important part of this support where our child’s care is brought together.”</w:t>
      </w:r>
    </w:p>
    <w:p w14:paraId="75B9D8B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“Really well coordinated, it ran smoothly and the support team were helpful and empathetic.”</w:t>
      </w:r>
    </w:p>
    <w:p w14:paraId="75BCDFC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“Excellent care, I was treated as an individual that not all care fits one bracket and that they are there for support”</w:t>
      </w:r>
    </w:p>
    <w:p w14:paraId="69E14E0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Conference 2024</w:t>
      </w:r>
    </w:p>
    <w:p w14:paraId="037B24B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held an online conference on 8th June which was incredibly well attended and supported. We had 203 register to attend the event with 130 joining us on the day. Of those who registered, 135 were based in the UK and 68 registered from across 26 countries.</w:t>
      </w:r>
    </w:p>
    <w:p w14:paraId="263BF62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Included in our programme were presentations from Dr Arlene Drack, who joined us from the US, and Professor Phil Beales, both of whom shared exciting updates about their gene therapy research. We also heard from Dr Elizabeth Forsythe about hyperphagia in BBS and a potential treatment, and were privileged to hear two personal perspectives about the lived experience of Bardet-Biedl syndrome, one of which focused on the sibling perspective.</w:t>
      </w:r>
    </w:p>
    <w:p w14:paraId="655E9A5E" w14:textId="77777777" w:rsidR="002575C6" w:rsidRDefault="002575C6">
      <w:pPr>
        <w:widowControl w:val="0"/>
        <w:autoSpaceDE w:val="0"/>
        <w:autoSpaceDN w:val="0"/>
        <w:adjustRightInd w:val="0"/>
        <w:spacing w:after="0" w:line="240" w:lineRule="auto"/>
        <w:jc w:val="distribute"/>
        <w:rPr>
          <w:rFonts w:ascii="Times New Roman" w:hAnsi="Times New Roman"/>
          <w:kern w:val="0"/>
        </w:rPr>
        <w:sectPr w:rsidR="002575C6">
          <w:footerReference w:type="default" r:id="rId19"/>
          <w:pgSz w:w="11909" w:h="16834"/>
          <w:pgMar w:top="1440" w:right="1440" w:bottom="1440" w:left="1440" w:header="720" w:footer="720" w:gutter="0"/>
          <w:cols w:space="720"/>
          <w:noEndnote/>
        </w:sectPr>
      </w:pPr>
    </w:p>
    <w:p w14:paraId="7954F970"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BF2301A"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252C3D5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Conf 2024 Feedback</w:t>
      </w:r>
    </w:p>
    <w:p w14:paraId="2D3B3CE1" w14:textId="77777777" w:rsidR="002575C6" w:rsidRDefault="002575C6">
      <w:pPr>
        <w:autoSpaceDE w:val="0"/>
        <w:autoSpaceDN w:val="0"/>
        <w:adjustRightInd w:val="0"/>
        <w:spacing w:after="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042B71AC"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49B55A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631162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97% felt better informed about ongoing research into BBS</w:t>
            </w:r>
          </w:p>
        </w:tc>
      </w:tr>
      <w:tr w:rsidR="002575C6" w14:paraId="7E2A92EF"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1B47A0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3B9136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82% felt better informed about the management of BBS</w:t>
            </w:r>
          </w:p>
        </w:tc>
      </w:tr>
      <w:tr w:rsidR="002575C6" w14:paraId="18B537CE"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4253DB5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611ECC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76% had greater awareness of the support and information available</w:t>
            </w:r>
          </w:p>
        </w:tc>
      </w:tr>
      <w:tr w:rsidR="002575C6" w14:paraId="27D2C17B"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7B2AA56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E199E1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64% felt more confident managing the challenges of BBS</w:t>
            </w:r>
          </w:p>
        </w:tc>
      </w:tr>
      <w:tr w:rsidR="002575C6" w14:paraId="1087AFF2"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B555F7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53BC1D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76% felt more connected to the BBS community</w:t>
            </w:r>
          </w:p>
        </w:tc>
      </w:tr>
      <w:tr w:rsidR="002575C6" w14:paraId="40B22EA3"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407586C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7C0F63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97% would attend or recommend attendance at a BBS UK event in future</w:t>
            </w:r>
          </w:p>
        </w:tc>
      </w:tr>
    </w:tbl>
    <w:p w14:paraId="0EB405E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Comments received:</w:t>
      </w:r>
    </w:p>
    <w:p w14:paraId="2B53048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 was really doubtful that I would enjoy this conference as much because I like the community of our in-person conferences. However, I have to say that the quality of the information presented was fantastic. What I also liked was that my daughter with BBS was able to sit in on some of the presentations which normally she would not have been able to as she would have been out on the activity day. Thank you! “</w:t>
      </w:r>
    </w:p>
    <w:p w14:paraId="2AE061F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“Well done everyone that helped to organise or took part in presenting, what a fabulous job! Really interesting, informative and professional. I especially look forward to hearing the personal perspectives, which are always inspiring and so heart-warming. Thank you!”</w:t>
      </w:r>
    </w:p>
    <w:p w14:paraId="7D1B14C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Regional Group Ireland</w:t>
      </w:r>
    </w:p>
    <w:p w14:paraId="12F9CEA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Ireland Regional Group continues to make meaningful progress in improving access to healthcare, support, and information for people living with Bardet-Biedl syndrome across the island of Ireland.</w:t>
      </w:r>
    </w:p>
    <w:p w14:paraId="147A5A0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 2024, the group carried out an audit of BBS patient access to healthcare services, highlighting key challenges such as fragmented care and the burden of multiple appointments. These findings are directly informing ongoing efforts to develop a dedicated multi-disciplinary team (MDT) clinic in Ireland.</w:t>
      </w:r>
    </w:p>
    <w:p w14:paraId="34DB90B6"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The group also formalised its structure and future plans, strengthening its capacity to advocate effectively and support families. Plans are underway for a second Information Day in October 2025, aiming to bring families and clinicians together for learning and connection.</w:t>
      </w:r>
    </w:p>
    <w:p w14:paraId="664B605E" w14:textId="77777777" w:rsidR="002575C6" w:rsidRDefault="002575C6">
      <w:pPr>
        <w:autoSpaceDE w:val="0"/>
        <w:autoSpaceDN w:val="0"/>
        <w:adjustRightInd w:val="0"/>
        <w:spacing w:after="0" w:line="240" w:lineRule="auto"/>
        <w:jc w:val="both"/>
        <w:rPr>
          <w:rFonts w:ascii="Times New Roman" w:hAnsi="Times New Roman"/>
          <w:kern w:val="0"/>
        </w:rPr>
      </w:pPr>
    </w:p>
    <w:p w14:paraId="74BCF69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are grateful to all those who continue to give their time, energy, and expertise to this work. The commitment of volunteers and supporters is driving real and positive change.</w:t>
      </w:r>
    </w:p>
    <w:p w14:paraId="104C4BF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3. Empower our membership to achieve</w:t>
      </w:r>
    </w:p>
    <w:p w14:paraId="5A0BA94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Health and Wellbeing</w:t>
      </w:r>
    </w:p>
    <w:p w14:paraId="0C6A2BD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Those living with BBS are likely to experience difficulties maintaining a healthy weight and often struggle with their mental health and general wellbeing and therefore BBS UK has a responsibility to encourage a culture of positive health and wellbeing throughout its projects and services.</w:t>
      </w:r>
    </w:p>
    <w:p w14:paraId="6020942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Earlier we reported on our Rareminds Counselling Service project, our virtual ‘meet-ups’, our IT Equipment Fund, our Clinics Support Service and Annual Conference, all of which promote positive health and wellbeing in our community. During the year we also held a Young Person’s Activity Weekend and a Social Event in London for adult service users.</w:t>
      </w:r>
    </w:p>
    <w:p w14:paraId="5CE1373F"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0"/>
          <w:pgSz w:w="11909" w:h="16834"/>
          <w:pgMar w:top="1440" w:right="1440" w:bottom="1440" w:left="1440" w:header="720" w:footer="720" w:gutter="0"/>
          <w:cols w:space="720"/>
          <w:noEndnote/>
        </w:sectPr>
      </w:pPr>
    </w:p>
    <w:p w14:paraId="47114ED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7E0B7276"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1833149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Young Person’s Weekend in Birmingham, provided a variety of challenges, including a day at Bear Grylls Activity Centre and plenty of social time to connect with others living with BBS. Parents found it invaluable having time with other parents who are on the same journey.</w:t>
      </w:r>
    </w:p>
    <w:p w14:paraId="7AA9210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For our older members a two-day event in London was built around attendance at Sight Village, an exhibition for people affected by sight loss, showcasing a wide range of technology and support services. We also visited the Natural History Museum and enjoyed meals out and social time together.</w:t>
      </w:r>
    </w:p>
    <w:p w14:paraId="4565947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Service User Advisory Group</w:t>
      </w:r>
    </w:p>
    <w:p w14:paraId="64FC66D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have established a Service User Advisory Group, to ensure that the voice and needs of the wider BBS community are accounted for and can directly feed into strategy and service improvements. The group meets every 2-3 months and consists of up to six BBS patients and six parents with experience of using BBS UK services. Over the past year, the SUAG members have helped review our newsletters, the online conference programme (including accessibility of materials), the conference report, and the Community Audit 2024. The group also shared ideas for the 2025 annual conference, upcoming newsletters, and fundraisers.</w:t>
      </w:r>
    </w:p>
    <w:p w14:paraId="42019A3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4. Strengthen governance and raise our profile</w:t>
      </w:r>
    </w:p>
    <w:p w14:paraId="52855F6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have continued growing and developing our Board of Trustees, with a focus on filling gaps identified in a skills audit. For the first time we engaged a specialised recruitment organisation to fill our Chair position and were delighted to welcome Emma Hughes to our Board at our AGM in November 2024. We also welcomed new Trustee, Bilaal Ali to our Board.</w:t>
      </w:r>
    </w:p>
    <w:p w14:paraId="61AAF50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Board now includes professional experience and skills across management/leadership, finance, project management, contract management, education, medical/genetics, human resources, and marketing/media/PR. We currently have two spaces unfilled and are seeking skills and experience as follows:</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603CBC32"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7687B16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EAD0F9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Legal including charity law</w:t>
            </w:r>
          </w:p>
        </w:tc>
      </w:tr>
      <w:tr w:rsidR="002575C6" w14:paraId="4C515EE7"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50CB2E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338924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Marketing, media, PR</w:t>
            </w:r>
          </w:p>
        </w:tc>
      </w:tr>
      <w:tr w:rsidR="002575C6" w14:paraId="23AC8850"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68B28FF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54A04F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Fundraising/funding</w:t>
            </w:r>
          </w:p>
        </w:tc>
      </w:tr>
      <w:tr w:rsidR="002575C6" w14:paraId="68EE62D2"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2CF63B1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D455C2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Human Resources/employment legislation</w:t>
            </w:r>
          </w:p>
        </w:tc>
      </w:tr>
    </w:tbl>
    <w:p w14:paraId="1C51F3E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reporting year brought us to the end of our three year strategic plan and we invested considerable time in its review and the development of a strategy for the next three years. We are in the process of finalising it and aim to publish it towards the Autumn of 2025.</w:t>
      </w:r>
    </w:p>
    <w:p w14:paraId="0F07723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 October 2024, we attended the European Cilia research meeting in Dublin, during which our Operations Manager, gave a presentation about BBS UK and the importance of collaboration, and patient and patient group engagement in research. In March 2025, Tonia attended a BBS summit in Chicago, connecting with key stakeholders in the global BBS research network.</w:t>
      </w:r>
    </w:p>
    <w:p w14:paraId="2BB5546A"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1"/>
          <w:pgSz w:w="11909" w:h="16834"/>
          <w:pgMar w:top="1440" w:right="1440" w:bottom="1440" w:left="1440" w:header="720" w:footer="720" w:gutter="0"/>
          <w:cols w:space="720"/>
          <w:noEndnote/>
        </w:sectPr>
      </w:pPr>
    </w:p>
    <w:p w14:paraId="66743555"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132EDB05"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0794F9D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5. Support research and understanding of BBS</w:t>
      </w:r>
    </w:p>
    <w:p w14:paraId="7940F78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continues to play a vital role in fostering, supporting, and influencing research related to Bardet-Biedl syndrome. We are committed to ensuring that people living with BBS are meaningfully involved in all stages of the research process, from shaping questions to reviewing outcomes.</w:t>
      </w:r>
    </w:p>
    <w:p w14:paraId="4C64FB1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Throughout the year, we have supported a number of research initiatives through:</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74D4A002"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902782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EC84A3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Letters of support for funding applications</w:t>
            </w:r>
          </w:p>
        </w:tc>
      </w:tr>
      <w:tr w:rsidR="002575C6" w14:paraId="0CC20E71"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C0B601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B732E3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Acting as co-applicants on grant proposals</w:t>
            </w:r>
          </w:p>
        </w:tc>
      </w:tr>
      <w:tr w:rsidR="002575C6" w14:paraId="2FF0B81F"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0BB0B9B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5D1E2A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Assisting in the development of research protocols and patient information materials to ensure accessibility and clarity for participants</w:t>
            </w:r>
          </w:p>
        </w:tc>
      </w:tr>
      <w:tr w:rsidR="002575C6" w14:paraId="30A01C7D"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40D4517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C46BBD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Disseminating research findings to our community via newsletters, the website, and at key events</w:t>
            </w:r>
          </w:p>
        </w:tc>
      </w:tr>
      <w:tr w:rsidR="002575C6" w14:paraId="699E1617"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0971BFE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BDBC83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Providing input into the design of research questions, particularly those that address lived experience, service improvement, or unmet needs</w:t>
            </w:r>
          </w:p>
        </w:tc>
      </w:tr>
      <w:tr w:rsidR="002575C6" w14:paraId="162C92FB"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70C25E4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BA78F2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Welcoming researchers at our Annual Family Conference, providing them with space to engage with attendees, gather insight, and share their work in an accessible and collaborative environment</w:t>
            </w:r>
          </w:p>
        </w:tc>
      </w:tr>
    </w:tbl>
    <w:p w14:paraId="470F74B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ensure scientific rigour and effective collaboration with the academic and pharmaceutical sectors, our Scientific Advisory Board meets two to three times a year. The Board:</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59560F76"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36FE2A1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FA0728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Keeps BBS UK informed of the latest scientific and clinical developments</w:t>
            </w:r>
          </w:p>
        </w:tc>
      </w:tr>
      <w:tr w:rsidR="002575C6" w14:paraId="2BFE6881"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59C161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007F2E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Provides oversight of research activity and pharma engagement, ensuring alignment with our values and the needs of the BBS community</w:t>
            </w:r>
          </w:p>
        </w:tc>
      </w:tr>
      <w:tr w:rsidR="002575C6" w14:paraId="423EE6A3"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9FBD58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D3AC25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Contributes to the development and review of educational materials and publications</w:t>
            </w:r>
          </w:p>
        </w:tc>
      </w:tr>
      <w:tr w:rsidR="002575C6" w14:paraId="4E2DC218"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0222E34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F76733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Offers expert input into the programme and content of our Annual Family Conference, helping to ensure it reflects current priorities in BBS research and treatment</w:t>
            </w:r>
          </w:p>
        </w:tc>
      </w:tr>
    </w:tbl>
    <w:p w14:paraId="4C7BF26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 addition, we maintain active connections with BBS organisations internationally and other UK-based rare disease groups, including through memberships and collaborations. These relationships allow us to stay informed about emerging research, influence strategic research priorities, and advocate for opportunities that are inclusive of people living with BBS.</w:t>
      </w:r>
    </w:p>
    <w:p w14:paraId="4A0F318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Summary</w:t>
      </w:r>
    </w:p>
    <w:p w14:paraId="43EC1F9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 conclusion, this year has been one of meaningful progress and connection for BBS UK, as we continued to deliver on the goals outlined in our three-year strategic plan, whilst developing our plan for the next three years. We have improved communication through inclusive, accessible channels; expanded and diversified our support services; created new opportunities for empowerment; strengthened our governance structures; and deepened engagement with research and scientific understanding of Bardet-Biedl Syndrome.</w:t>
      </w:r>
    </w:p>
    <w:p w14:paraId="5486023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sincere thanks go to our staff, trustees, volunteers, and partners whose dedication and collaboration make this work possible. Their efforts have enabled us to meet growing needs with compassion, innovation, and resilience. As we look ahead, we remain committed to continuous improvement and long-term sustainability, ensuring we support every individual and family living with BBS to live well, feel connected, and thrive.</w:t>
      </w:r>
    </w:p>
    <w:p w14:paraId="340F973A"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2"/>
          <w:pgSz w:w="11909" w:h="16834"/>
          <w:pgMar w:top="1440" w:right="1440" w:bottom="1440" w:left="1440" w:header="720" w:footer="720" w:gutter="0"/>
          <w:cols w:space="720"/>
          <w:noEndnote/>
        </w:sectPr>
      </w:pPr>
    </w:p>
    <w:p w14:paraId="55295C18"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2EBEDE4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6B61662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Fundraising Review</w:t>
      </w:r>
    </w:p>
    <w:p w14:paraId="1298369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Introduction</w:t>
      </w:r>
    </w:p>
    <w:p w14:paraId="74730BA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national fundraising landscape continues to reflect a challenging macroeconomic climate, with rising living costs and donor fatigue placing pressure on income generation across the third sector. Nevertheless, BBS UK experienced a strong fundraising year, significantly outperforming our income targets. This was driven largely by a transformational legacy donation and a series of community-led initiatives that exceeded expectations.</w:t>
      </w:r>
    </w:p>
    <w:p w14:paraId="7C930CD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Total fundraising income for the year exceeded </w:t>
      </w:r>
      <w:r>
        <w:rPr>
          <w:rFonts w:ascii="Arial" w:hAnsi="Arial" w:cs="Arial"/>
          <w:b/>
          <w:bCs/>
          <w:kern w:val="0"/>
          <w:sz w:val="20"/>
          <w:szCs w:val="20"/>
        </w:rPr>
        <w:t>£170,000</w:t>
      </w:r>
      <w:r>
        <w:rPr>
          <w:rFonts w:ascii="Arial" w:hAnsi="Arial" w:cs="Arial"/>
          <w:kern w:val="0"/>
          <w:sz w:val="20"/>
          <w:szCs w:val="20"/>
        </w:rPr>
        <w:t>, equating to more than</w:t>
      </w:r>
      <w:r>
        <w:rPr>
          <w:rFonts w:ascii="Arial" w:hAnsi="Arial" w:cs="Arial"/>
          <w:b/>
          <w:bCs/>
          <w:kern w:val="0"/>
          <w:sz w:val="20"/>
          <w:szCs w:val="20"/>
        </w:rPr>
        <w:t xml:space="preserve"> 200%</w:t>
      </w:r>
      <w:r>
        <w:rPr>
          <w:rFonts w:ascii="Arial" w:hAnsi="Arial" w:cs="Arial"/>
          <w:kern w:val="0"/>
          <w:sz w:val="20"/>
          <w:szCs w:val="20"/>
        </w:rPr>
        <w:t xml:space="preserve"> of our original budget. Notably, excluding the legacy gift, income still reached </w:t>
      </w:r>
      <w:r>
        <w:rPr>
          <w:rFonts w:ascii="Arial" w:hAnsi="Arial" w:cs="Arial"/>
          <w:b/>
          <w:bCs/>
          <w:kern w:val="0"/>
          <w:sz w:val="20"/>
          <w:szCs w:val="20"/>
        </w:rPr>
        <w:t>92%</w:t>
      </w:r>
      <w:r>
        <w:rPr>
          <w:rFonts w:ascii="Arial" w:hAnsi="Arial" w:cs="Arial"/>
          <w:kern w:val="0"/>
          <w:sz w:val="20"/>
          <w:szCs w:val="20"/>
        </w:rPr>
        <w:t xml:space="preserve"> of target - a remarkable achievement given the external environment.</w:t>
      </w:r>
    </w:p>
    <w:p w14:paraId="306061A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Statutory funding from the NHS England continues to support our core Clinics Service, providing stable income.</w:t>
      </w:r>
    </w:p>
    <w:p w14:paraId="7C8F43D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Fundraising Goals and Strategy</w:t>
      </w:r>
    </w:p>
    <w:p w14:paraId="1F2B93B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year, our primary goal was to further diversify income streams while developing our fundraising strategy. We successfully met our corporate giving target and exceeded expectations in individual, regular, and legacy giving. Currently, we are finalising our strategy, with a clear focus on expanding community fundraising, corporate partnerships, and regular giving in the year ahead. It continues to be our aim to register with the Fundraising Regulator, reinforcing our commitment to best-practice and ethical fundraising.</w:t>
      </w:r>
    </w:p>
    <w:p w14:paraId="65CD7A1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Community Fundraising</w:t>
      </w:r>
    </w:p>
    <w:p w14:paraId="16D286B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dedication of our community fundraisers continues to inspire us. From extreme physical challenges to intimate family-led gatherings, every event made a difference. This year’s highlights include:</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411287C3"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2586448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B002ED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Michael O’Sullivan raised nearly £7,500, whilst training for the London Marathon. Unfortunately, Michael sustained an injury, and his place has rolled over to 2026; we wish him the best of luck with his training, and look forward to cheering him on, over the finish line.</w:t>
            </w:r>
          </w:p>
        </w:tc>
      </w:tr>
      <w:tr w:rsidR="002575C6" w14:paraId="1F533A7C"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7EEF158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5191BF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Fintan Cruse raised over £4,500 completing the Royal Canal Extreme Challenge, running 150km in 24 hours.</w:t>
            </w:r>
          </w:p>
        </w:tc>
      </w:tr>
      <w:tr w:rsidR="002575C6" w14:paraId="048C0A7F"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6F779C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F07426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Community events including the Sloane Family Afternoon Tea, Knitting Nannies, St Edwards Church fundraiser, Graeme Roache’s Golf Tournament, Wilkie Family’s Kilt Walk and many more.</w:t>
            </w:r>
          </w:p>
        </w:tc>
      </w:tr>
    </w:tbl>
    <w:p w14:paraId="0B7B54E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saw a surge in engagement following a call for help at our conference, leading to a noticeable uptick in new event planning, with skydive, bungee, and running challenges already scheduled.</w:t>
      </w:r>
    </w:p>
    <w:p w14:paraId="1575B0B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Friends of BBS UK</w:t>
      </w:r>
    </w:p>
    <w:p w14:paraId="5F08FAD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The Friends of BBS UK regular giving programme raised over </w:t>
      </w:r>
      <w:r>
        <w:rPr>
          <w:rFonts w:ascii="Arial" w:hAnsi="Arial" w:cs="Arial"/>
          <w:b/>
          <w:bCs/>
          <w:kern w:val="0"/>
          <w:sz w:val="20"/>
          <w:szCs w:val="20"/>
        </w:rPr>
        <w:t>£11,000</w:t>
      </w:r>
      <w:r>
        <w:rPr>
          <w:rFonts w:ascii="Arial" w:hAnsi="Arial" w:cs="Arial"/>
          <w:kern w:val="0"/>
          <w:sz w:val="20"/>
          <w:szCs w:val="20"/>
        </w:rPr>
        <w:t>, an increase of more than £1,000 from the previous year. Promoting Regular Giving will remain a priority for the year ahead, to promote long-term sustainability.</w:t>
      </w:r>
    </w:p>
    <w:p w14:paraId="768B6025"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3"/>
          <w:pgSz w:w="11909" w:h="16834"/>
          <w:pgMar w:top="1440" w:right="1440" w:bottom="1440" w:left="1440" w:header="720" w:footer="720" w:gutter="0"/>
          <w:cols w:space="720"/>
          <w:noEndnote/>
        </w:sectPr>
      </w:pPr>
    </w:p>
    <w:p w14:paraId="5BF4501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6B09A48"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001B8A8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Pharmaceutical Industry</w:t>
      </w:r>
    </w:p>
    <w:p w14:paraId="3B9E5D1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Maintaining open, ethical and transparent relationships with pharmaceutical industry partners is an important element of BBS UK’s funding, governance and strategic approach. These partnerships are managed in accordance with the guidelines of the Association of the British Pharmaceutical Industry (ABPI) and our internal policies.</w:t>
      </w:r>
    </w:p>
    <w:p w14:paraId="45664BD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are deeply grateful to Rhythm Pharmaceuticals (£10,000) and Axovia Therapeutics (£5,000) for their generous support of the BBS UK Conference through unrestricted educational grants. In line with ABPI guidelines, these funds supported non-promotional educational activities, helping to increase awareness and understanding of Bardet-Biedl syndrome among patients and carers.</w:t>
      </w:r>
    </w:p>
    <w:p w14:paraId="007780F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Trusts and Foundations</w:t>
      </w:r>
    </w:p>
    <w:p w14:paraId="039A8C9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Grants and trust income, received into our account, totalled </w:t>
      </w:r>
      <w:r>
        <w:rPr>
          <w:rFonts w:ascii="Arial" w:hAnsi="Arial" w:cs="Arial"/>
          <w:b/>
          <w:bCs/>
          <w:kern w:val="0"/>
          <w:sz w:val="20"/>
          <w:szCs w:val="20"/>
        </w:rPr>
        <w:t>£19,150</w:t>
      </w:r>
      <w:r>
        <w:rPr>
          <w:rFonts w:ascii="Arial" w:hAnsi="Arial" w:cs="Arial"/>
          <w:kern w:val="0"/>
          <w:sz w:val="20"/>
          <w:szCs w:val="20"/>
        </w:rPr>
        <w:t xml:space="preserve">, representing </w:t>
      </w:r>
      <w:r>
        <w:rPr>
          <w:rFonts w:ascii="Arial" w:hAnsi="Arial" w:cs="Arial"/>
          <w:b/>
          <w:bCs/>
          <w:kern w:val="0"/>
          <w:sz w:val="20"/>
          <w:szCs w:val="20"/>
        </w:rPr>
        <w:t>59%</w:t>
      </w:r>
      <w:r>
        <w:rPr>
          <w:rFonts w:ascii="Arial" w:hAnsi="Arial" w:cs="Arial"/>
          <w:kern w:val="0"/>
          <w:sz w:val="20"/>
          <w:szCs w:val="20"/>
        </w:rPr>
        <w:t xml:space="preserve"> of our target; our heartfelt thanks go to:</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53F9681E"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B10846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3B438F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National Lottery Community Fund</w:t>
            </w:r>
          </w:p>
        </w:tc>
      </w:tr>
      <w:tr w:rsidR="002575C6" w14:paraId="1FDD4B78"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221C165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A91364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Sir Jules Thorn Charitable Trust</w:t>
            </w:r>
          </w:p>
        </w:tc>
      </w:tr>
      <w:tr w:rsidR="002575C6" w14:paraId="0760BBFC"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07A4FB1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F4223B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Douglas Arter Foundation</w:t>
            </w:r>
          </w:p>
        </w:tc>
      </w:tr>
      <w:tr w:rsidR="002575C6" w14:paraId="279F0D64"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2518753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6564B9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Kaye Charitable Trust</w:t>
            </w:r>
          </w:p>
        </w:tc>
      </w:tr>
      <w:tr w:rsidR="002575C6" w14:paraId="6709DE91"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BD182E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F96CB8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Eveson Trust</w:t>
            </w:r>
          </w:p>
        </w:tc>
      </w:tr>
    </w:tbl>
    <w:p w14:paraId="00AC3E3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are pleased to share that we have been awarded a three-year grant from BBC Children in Need, which will commence in the next financial year. In line with accruals accounting principles, this grant has been recognised in the current year’s accounts. We continue to strengthen our funding pipeline, with a focus on increasing both the scale and sustainability of our grant income in the years to come.</w:t>
      </w:r>
    </w:p>
    <w:p w14:paraId="6ADA854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Legacy Giving</w:t>
      </w:r>
    </w:p>
    <w:p w14:paraId="5C38372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year saw the extraordinary impact of a legacy gift from the estate of Jackie Farrington. The BBS UK Board of Trustees has designated the funds to be used across three years to support the development of the Advice Service, a cornerstone of support for individuals and families living with Bardet-Biedl syndrome.</w:t>
      </w:r>
    </w:p>
    <w:p w14:paraId="73A8E5A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are deeply grateful to Jackie and her family for this generous gift, which will have far reaching benefits for our community.</w:t>
      </w:r>
    </w:p>
    <w:p w14:paraId="317F15A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Looking ahead, we will build on this momentum by launching our first legacy awareness campaign, helping supporters understand the lasting impact of gifts in wills. Legacy giving represents a vital opportunity to strengthen the future of BBS UK, and we are committed to ensuring our community has the information and inspiration needed to consider this special form of support.</w:t>
      </w:r>
    </w:p>
    <w:p w14:paraId="736D92EF"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4"/>
          <w:pgSz w:w="11909" w:h="16834"/>
          <w:pgMar w:top="1440" w:right="1440" w:bottom="1440" w:left="1440" w:header="720" w:footer="720" w:gutter="0"/>
          <w:cols w:space="720"/>
          <w:noEndnote/>
        </w:sectPr>
      </w:pPr>
    </w:p>
    <w:p w14:paraId="4DAAC5AC"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2B6E3239"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3D898D4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Campaigns and Communications</w:t>
      </w:r>
    </w:p>
    <w:p w14:paraId="60FD84B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Once again, our internally created campaigns received limited uptake, with the ‘Countdown to Conference’ campaign generating just £280. As in previous years, community-led events vastly outperform branded campaigns. Our strategic focus will shift towards encouraging and empowering fundraisers, rather than leading centralised campaigns.</w:t>
      </w:r>
    </w:p>
    <w:p w14:paraId="78D9CCA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improve engagement and accessibility, we are trialling membership of the Run for Charity platform, which provides access to 800+ running events, including marathons, fun runs, muddy and inflatable events, enabling us to cover registration costs with ease and streamlining event registration.</w:t>
      </w:r>
    </w:p>
    <w:p w14:paraId="568D10E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Summary</w:t>
      </w:r>
    </w:p>
    <w:p w14:paraId="7CCDB5C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 a year where many charities continued to face financial uncertainty and increased pressure on fundraising, the BBS UK community responded with remarkable generosity, determination, and heart. Thanks to the unwavering commitment of our fundraisers, donors, partners and volunteers, we exceeded expectations and secured income that will directly benefit those living with Bardet-Biedl syndrome.</w:t>
      </w:r>
    </w:p>
    <w:p w14:paraId="7AC42B1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success is about much more than figures, every act of support reflects the strength and solidarity of our rare disease community. We are especially grateful for those who gave their time, shared their stories, and rallied others to get involved — their dedication has been truly inspiring.</w:t>
      </w:r>
    </w:p>
    <w:p w14:paraId="52B55B5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everyone who has supported us, in ways both big and small, we offer our heartfelt thanks. Your generosity has helped sustain vital services and given us the confidence to plan ambitiously for the future. We remain firmly committed to using every pound raised wisely, and to building on this year’s achievements with integrity, purpose and care.</w:t>
      </w:r>
    </w:p>
    <w:p w14:paraId="127DA73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Treasurer’s Report</w:t>
      </w:r>
    </w:p>
    <w:p w14:paraId="7984D2E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u w:val="single"/>
        </w:rPr>
        <w:t>Tazeem Abbas, Treasurer</w:t>
      </w:r>
    </w:p>
    <w:p w14:paraId="779CC82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As we have heard, this year marked a period of financial stability and operational progress for BBS UK. Alongside strong fundraising and prudent financial management, key developments included:</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32B8043D"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4B77C5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E29553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change of accountants at the end of the financial year from Amicus Accountancy Ltd to Westcotts Chartered Accountants.</w:t>
            </w:r>
          </w:p>
        </w:tc>
      </w:tr>
      <w:tr w:rsidR="002575C6" w14:paraId="2E244B60"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887746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F89378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completion of Kevin Sales’ tenure as bookkeeper in March; Kevin has been a valued supporter of the Charity for many years, and we give our heartfelt thanks for his dedication and service.</w:t>
            </w:r>
          </w:p>
        </w:tc>
      </w:tr>
      <w:tr w:rsidR="002575C6" w14:paraId="5340DC03"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416C7C1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9E14C8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finance policy remains under review and will be prioritised in the next quarter.</w:t>
            </w:r>
          </w:p>
        </w:tc>
      </w:tr>
    </w:tbl>
    <w:p w14:paraId="7A452F5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UK’s financial period runs from 1st April 2024 to 31st March 2025, with accounts prepared on an accrual basis.</w:t>
      </w:r>
    </w:p>
    <w:p w14:paraId="4B35E4B0"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5"/>
          <w:pgSz w:w="11909" w:h="16834"/>
          <w:pgMar w:top="1440" w:right="1440" w:bottom="1440" w:left="1440" w:header="720" w:footer="720" w:gutter="0"/>
          <w:cols w:space="720"/>
          <w:noEndnote/>
        </w:sectPr>
      </w:pPr>
    </w:p>
    <w:p w14:paraId="6D9303E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3C08EE09"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3DA0AFB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As of the 31st March 2025, total Charity funds stood at </w:t>
      </w:r>
      <w:r>
        <w:rPr>
          <w:rFonts w:ascii="Arial" w:hAnsi="Arial" w:cs="Arial"/>
          <w:b/>
          <w:bCs/>
          <w:kern w:val="0"/>
          <w:sz w:val="20"/>
          <w:szCs w:val="20"/>
        </w:rPr>
        <w:t xml:space="preserve">£302,739 </w:t>
      </w:r>
      <w:r>
        <w:rPr>
          <w:rFonts w:ascii="Arial" w:hAnsi="Arial" w:cs="Arial"/>
          <w:kern w:val="0"/>
          <w:sz w:val="20"/>
          <w:szCs w:val="20"/>
        </w:rPr>
        <w:t>(2023-24: £201,667). During the year, transfers of £18,114 were made from the General Fund to designated funds:</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62BDFAFD"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8815D7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5EB663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£11,451 to the Annual Family Weekend and Conference</w:t>
            </w:r>
          </w:p>
        </w:tc>
      </w:tr>
      <w:tr w:rsidR="002575C6" w14:paraId="34985993"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2D52AB0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77813B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£1,455 to the IT Equipment Fund</w:t>
            </w:r>
          </w:p>
        </w:tc>
      </w:tr>
      <w:tr w:rsidR="002575C6" w14:paraId="52BBD12F"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3B121E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D6FBD3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 net £750 to the Rareminds Counselling Project, comprising £13,650 transferred to the designated fund, and £12,900 returned to the General Fund, following receipt of a restricted grant.</w:t>
            </w:r>
          </w:p>
        </w:tc>
      </w:tr>
      <w:tr w:rsidR="002575C6" w14:paraId="7423E0C1"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0A54D3D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3508C5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£4,458 to Fixed Assets, reflecting capitalised expenditure.</w:t>
            </w:r>
          </w:p>
        </w:tc>
      </w:tr>
    </w:tbl>
    <w:p w14:paraId="1F724A8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General Funds</w:t>
      </w:r>
      <w:r>
        <w:rPr>
          <w:rFonts w:ascii="Arial" w:hAnsi="Arial" w:cs="Arial"/>
          <w:kern w:val="0"/>
          <w:sz w:val="20"/>
          <w:szCs w:val="20"/>
        </w:rPr>
        <w:t xml:space="preserve"> increased to </w:t>
      </w:r>
      <w:r>
        <w:rPr>
          <w:rFonts w:ascii="Arial" w:hAnsi="Arial" w:cs="Arial"/>
          <w:b/>
          <w:bCs/>
          <w:kern w:val="0"/>
          <w:sz w:val="20"/>
          <w:szCs w:val="20"/>
        </w:rPr>
        <w:t>£267,203</w:t>
      </w:r>
      <w:r>
        <w:rPr>
          <w:rFonts w:ascii="Arial" w:hAnsi="Arial" w:cs="Arial"/>
          <w:kern w:val="0"/>
          <w:sz w:val="20"/>
          <w:szCs w:val="20"/>
        </w:rPr>
        <w:t xml:space="preserve"> (2023-24: £190,949) with a surplus for the year of £76,254</w:t>
      </w:r>
    </w:p>
    <w:p w14:paraId="7EA1944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Designated Funds</w:t>
      </w:r>
      <w:r>
        <w:rPr>
          <w:rFonts w:ascii="Arial" w:hAnsi="Arial" w:cs="Arial"/>
          <w:kern w:val="0"/>
          <w:sz w:val="20"/>
          <w:szCs w:val="20"/>
        </w:rPr>
        <w:t xml:space="preserve"> stood at </w:t>
      </w:r>
      <w:r>
        <w:rPr>
          <w:rFonts w:ascii="Arial" w:hAnsi="Arial" w:cs="Arial"/>
          <w:b/>
          <w:bCs/>
          <w:kern w:val="0"/>
          <w:sz w:val="20"/>
          <w:szCs w:val="20"/>
        </w:rPr>
        <w:t>£9,868</w:t>
      </w:r>
      <w:r>
        <w:rPr>
          <w:rFonts w:ascii="Arial" w:hAnsi="Arial" w:cs="Arial"/>
          <w:kern w:val="0"/>
          <w:sz w:val="20"/>
          <w:szCs w:val="20"/>
        </w:rPr>
        <w:t xml:space="preserve"> (2023-24: £7,928*)</w:t>
      </w:r>
    </w:p>
    <w:p w14:paraId="17C237F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Restricted Funds</w:t>
      </w:r>
      <w:r>
        <w:rPr>
          <w:rFonts w:ascii="Arial" w:hAnsi="Arial" w:cs="Arial"/>
          <w:kern w:val="0"/>
          <w:sz w:val="20"/>
          <w:szCs w:val="20"/>
        </w:rPr>
        <w:t xml:space="preserve"> stood at </w:t>
      </w:r>
      <w:r>
        <w:rPr>
          <w:rFonts w:ascii="Arial" w:hAnsi="Arial" w:cs="Arial"/>
          <w:b/>
          <w:bCs/>
          <w:kern w:val="0"/>
          <w:sz w:val="20"/>
          <w:szCs w:val="20"/>
        </w:rPr>
        <w:t>£25,668</w:t>
      </w:r>
      <w:r>
        <w:rPr>
          <w:rFonts w:ascii="Arial" w:hAnsi="Arial" w:cs="Arial"/>
          <w:kern w:val="0"/>
          <w:sz w:val="20"/>
          <w:szCs w:val="20"/>
        </w:rPr>
        <w:t xml:space="preserve"> (2023-24: £2,790).</w:t>
      </w:r>
    </w:p>
    <w:p w14:paraId="10E9E65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Trustees provided support from designated funds during the financial year:</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13202BD7"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783712E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3DD7D6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Chris Humphreys Memorial Fund: £2,167 (23-24: £1,407)</w:t>
            </w:r>
          </w:p>
        </w:tc>
      </w:tr>
      <w:tr w:rsidR="002575C6" w14:paraId="16F6A505"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43E87B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DEA0CB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Annual Family Weekend and Conference: £9,498 (23-24: £23,951)</w:t>
            </w:r>
          </w:p>
        </w:tc>
      </w:tr>
      <w:tr w:rsidR="002575C6" w14:paraId="7E662863"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0F2570E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A684D3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IT Equipment Fund: £1,197 (23-24: £2,178)</w:t>
            </w:r>
          </w:p>
        </w:tc>
      </w:tr>
      <w:tr w:rsidR="002575C6" w14:paraId="11B6CAB9"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30286B2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9A2B2E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Rareminds Counselling Project: £750.00</w:t>
            </w:r>
          </w:p>
        </w:tc>
      </w:tr>
    </w:tbl>
    <w:p w14:paraId="2C8BDD8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Reserves Policy and Going Concern</w:t>
      </w:r>
    </w:p>
    <w:p w14:paraId="0CBE07A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Trustees regularly review budget and reserves, monitored monthly and reported quarterly, to ensure that the appropriate levels are maintained considering the main risks to the organisation and future developments. Trustees have agreed unrestricted free reserves should be sufficient to cover </w:t>
      </w:r>
      <w:r>
        <w:rPr>
          <w:rFonts w:ascii="Arial" w:hAnsi="Arial" w:cs="Arial"/>
          <w:b/>
          <w:bCs/>
          <w:kern w:val="0"/>
          <w:sz w:val="20"/>
          <w:szCs w:val="20"/>
        </w:rPr>
        <w:t>6</w:t>
      </w:r>
      <w:r>
        <w:rPr>
          <w:rFonts w:ascii="Arial" w:hAnsi="Arial" w:cs="Arial"/>
          <w:kern w:val="0"/>
          <w:sz w:val="20"/>
          <w:szCs w:val="20"/>
        </w:rPr>
        <w:t xml:space="preserve"> months expenditure.</w:t>
      </w:r>
    </w:p>
    <w:p w14:paraId="7137EDA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At 31st March 2025, the total unrestricted funds were </w:t>
      </w:r>
      <w:r>
        <w:rPr>
          <w:rFonts w:ascii="Arial" w:hAnsi="Arial" w:cs="Arial"/>
          <w:b/>
          <w:bCs/>
          <w:kern w:val="0"/>
          <w:sz w:val="20"/>
          <w:szCs w:val="20"/>
        </w:rPr>
        <w:t>£277,071</w:t>
      </w:r>
      <w:r>
        <w:rPr>
          <w:rFonts w:ascii="Arial" w:hAnsi="Arial" w:cs="Arial"/>
          <w:kern w:val="0"/>
          <w:sz w:val="20"/>
          <w:szCs w:val="20"/>
        </w:rPr>
        <w:t xml:space="preserve"> including £9,868 of designated funds remaining at year end. After year-end as part of the 2025-26 budget approval, the trustees designated </w:t>
      </w:r>
      <w:r>
        <w:rPr>
          <w:rFonts w:ascii="Arial" w:hAnsi="Arial" w:cs="Arial"/>
          <w:b/>
          <w:bCs/>
          <w:kern w:val="0"/>
          <w:sz w:val="20"/>
          <w:szCs w:val="20"/>
        </w:rPr>
        <w:t>£114,000</w:t>
      </w:r>
      <w:r>
        <w:rPr>
          <w:rFonts w:ascii="Arial" w:hAnsi="Arial" w:cs="Arial"/>
          <w:kern w:val="0"/>
          <w:sz w:val="20"/>
          <w:szCs w:val="20"/>
        </w:rPr>
        <w:t xml:space="preserve"> from the General Fund towards the following key priorities:</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2FA2503C"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09A4052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46707C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£3,000 to the Chris Humphreys Memorial Fund, to support newly diagnosed individuals and their families to access our events based on assessment of need.</w:t>
            </w:r>
          </w:p>
        </w:tc>
      </w:tr>
      <w:tr w:rsidR="002575C6" w14:paraId="35DAA6F9"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00ECD9D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96E41A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£5,000 to the IT Equipment Fund, to improve digital access to services.</w:t>
            </w:r>
          </w:p>
        </w:tc>
      </w:tr>
      <w:tr w:rsidR="002575C6" w14:paraId="1C4B1268"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20447FF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EEE6FF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£12,000 to the Rareminds Counselling Project, providing specialist counselling for BBS patients.</w:t>
            </w:r>
          </w:p>
        </w:tc>
      </w:tr>
      <w:tr w:rsidR="002575C6" w14:paraId="7CA6EB7A"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070DDD0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9E40BD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£94,000 to fund the Advice Service over three-years* (2025-2028)</w:t>
            </w:r>
          </w:p>
        </w:tc>
      </w:tr>
    </w:tbl>
    <w:p w14:paraId="2AA4A64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This leaves estimated free reserves of </w:t>
      </w:r>
      <w:r>
        <w:rPr>
          <w:rFonts w:ascii="Arial" w:hAnsi="Arial" w:cs="Arial"/>
          <w:b/>
          <w:bCs/>
          <w:kern w:val="0"/>
          <w:sz w:val="20"/>
          <w:szCs w:val="20"/>
        </w:rPr>
        <w:t>£157,933</w:t>
      </w:r>
      <w:r>
        <w:rPr>
          <w:rFonts w:ascii="Arial" w:hAnsi="Arial" w:cs="Arial"/>
          <w:kern w:val="0"/>
          <w:sz w:val="20"/>
          <w:szCs w:val="20"/>
        </w:rPr>
        <w:t xml:space="preserve">, equivalent to </w:t>
      </w:r>
      <w:r>
        <w:rPr>
          <w:rFonts w:ascii="Arial" w:hAnsi="Arial" w:cs="Arial"/>
          <w:b/>
          <w:bCs/>
          <w:kern w:val="0"/>
          <w:sz w:val="20"/>
          <w:szCs w:val="20"/>
        </w:rPr>
        <w:t>5.5</w:t>
      </w:r>
      <w:r>
        <w:rPr>
          <w:rFonts w:ascii="Arial" w:hAnsi="Arial" w:cs="Arial"/>
          <w:kern w:val="0"/>
          <w:sz w:val="20"/>
          <w:szCs w:val="20"/>
        </w:rPr>
        <w:t xml:space="preserve"> months’ core expenditure. The trustees consider that the Charity has adequate resources to continue its activities for the foreseeable future and therefore deem it a going concern.</w:t>
      </w:r>
    </w:p>
    <w:p w14:paraId="098AB3B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**Designation of Unrestricted Legacy for Advice Service</w:t>
      </w:r>
    </w:p>
    <w:p w14:paraId="291CBAB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At the end of 2024-25, Trustees designated £94,000 from an unrestricted legacy gift to support the Advice Service over three years. This strategic designation supports immediate growth and capacity building, while the Charity continues to seek sustainable funding sources. Although this designation provides temporary financial support, it does not fully cover the costs of the Advice Service, and additional funding is sought. These funds remain unrestricted and may be reallocated if necessary, in line with maintaining appropriate free reserves and financial stability.</w:t>
      </w:r>
    </w:p>
    <w:p w14:paraId="4E32B18D"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6"/>
          <w:pgSz w:w="11909" w:h="16834"/>
          <w:pgMar w:top="1440" w:right="1440" w:bottom="1440" w:left="1440" w:header="720" w:footer="720" w:gutter="0"/>
          <w:cols w:space="720"/>
          <w:noEndnote/>
        </w:sectPr>
      </w:pPr>
    </w:p>
    <w:p w14:paraId="09D2503C"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645CB163"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530E078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Management of risk</w:t>
      </w:r>
    </w:p>
    <w:p w14:paraId="5C434A0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Trustees have identified that the main risks to the charity are:</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140EE2A6"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C7B46F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05EE89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NHS England clinic contract</w:t>
            </w:r>
          </w:p>
        </w:tc>
      </w:tr>
      <w:tr w:rsidR="002575C6" w14:paraId="4DDB144F"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A19A75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5356E7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Failing to secure sufficient funds</w:t>
            </w:r>
          </w:p>
        </w:tc>
      </w:tr>
      <w:tr w:rsidR="002575C6" w14:paraId="76563D34"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68A6EF1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72E4D3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loss of income from reduced donations</w:t>
            </w:r>
          </w:p>
        </w:tc>
      </w:tr>
      <w:tr w:rsidR="002575C6" w14:paraId="76277C76"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6576F37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F680F8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loss of key personnel</w:t>
            </w:r>
          </w:p>
        </w:tc>
      </w:tr>
    </w:tbl>
    <w:p w14:paraId="63DEA85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Summary</w:t>
      </w:r>
    </w:p>
    <w:p w14:paraId="6FECD39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year has been one of financial strength and strategic progress for BBS UK. Thanks to generous fundraising support, a significant legacy gift, and improved financial processes, we are well-positioned to meet current needs and invest in future growth. The Board remains committed to strong governance and prudent reserves management, ensuring our long-term sustainability. We are deeply grateful to our dedicated trustees, staff, volunteers, fundraisers and donors, whose continued support makes our work possible.</w:t>
      </w:r>
    </w:p>
    <w:p w14:paraId="6B7F2F36"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Statement of Trustees' Responsibilities</w:t>
      </w:r>
    </w:p>
    <w:p w14:paraId="09430A2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Trustees are responsible for preparing the Trustees' report and the financial statements in accordance with the United Kingdom Accounting Standards (United Kingdom Generally Accepted Accounting Practice) and applicable law and regulations.</w:t>
      </w:r>
    </w:p>
    <w:p w14:paraId="6BE9446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law applicable to charities requires the Trustees to prepare financial statements for each financial year which give a true and fair view of the state of affairs of the Charity and of the incoming resources and application of resources of the Charity for that period. In preparing these financial statements, the Trustees are required to:</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63080547"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6EF2BD4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154F35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select suitable accounting policies and then apply them consistently;</w:t>
            </w:r>
          </w:p>
        </w:tc>
      </w:tr>
      <w:tr w:rsidR="002575C6" w14:paraId="04E02526"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45BF694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B37C07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observe the methods and principles in the Charities SORP;</w:t>
            </w:r>
          </w:p>
        </w:tc>
      </w:tr>
      <w:tr w:rsidR="002575C6" w14:paraId="2F87C3AD"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25FDDCF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7122E5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make judgements and estimates that are reasonable and prudent;</w:t>
            </w:r>
          </w:p>
        </w:tc>
      </w:tr>
      <w:tr w:rsidR="002575C6" w14:paraId="0B357856"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066A8D0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0B2175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state whether applicable accounting standards have been followed, subject to any material departures disclosed and explained in the financial statements; and</w:t>
            </w:r>
          </w:p>
        </w:tc>
      </w:tr>
      <w:tr w:rsidR="002575C6" w14:paraId="2ECF2BB7"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D56430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156177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prepare the financial statements on the going concern basis unless it is inappropriate to presume that the Charity will continue in business.</w:t>
            </w:r>
          </w:p>
        </w:tc>
      </w:tr>
    </w:tbl>
    <w:p w14:paraId="5CCCCC2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Trustees are responsible for keeping proper accounting records that disclose with reasonable accuracy at any time the financial position of the Charity and enable them to ensure that the financial statements comply with the Charities Act 2011, the Charities (Accounts and Reports) Regulations 2008, and the provisions of the constitution. The Trustees are also responsible for safeguarding the assets of the Charity and hence for taking reasonable steps for the prevention and detection of fraud and other irregularities.</w:t>
      </w:r>
    </w:p>
    <w:p w14:paraId="37C077E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Trustees are responsible for the maintenance and integrity of the corporate and financial information included on the charitable company's website. Legislation governing the preparation and dissemination of financial statements may differ from legislation in other jurisdictions.</w:t>
      </w:r>
    </w:p>
    <w:p w14:paraId="6DC528FE"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7"/>
          <w:pgSz w:w="11909" w:h="16834"/>
          <w:pgMar w:top="1440" w:right="1440" w:bottom="1440" w:left="1440" w:header="720" w:footer="720" w:gutter="0"/>
          <w:cols w:space="720"/>
          <w:noEndnote/>
        </w:sectPr>
      </w:pPr>
    </w:p>
    <w:p w14:paraId="3FC28213"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2404D8AA"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68F8A95A" w14:textId="77777777" w:rsidR="001818F5" w:rsidRDefault="002575C6">
      <w:pPr>
        <w:autoSpaceDE w:val="0"/>
        <w:autoSpaceDN w:val="0"/>
        <w:adjustRightInd w:val="0"/>
        <w:spacing w:before="283" w:after="100" w:line="240" w:lineRule="auto"/>
        <w:jc w:val="both"/>
        <w:rPr>
          <w:rFonts w:ascii="Arial" w:hAnsi="Arial" w:cs="Arial"/>
          <w:kern w:val="0"/>
          <w:sz w:val="20"/>
          <w:szCs w:val="20"/>
        </w:rPr>
      </w:pPr>
      <w:r>
        <w:rPr>
          <w:rFonts w:ascii="Arial" w:hAnsi="Arial" w:cs="Arial"/>
          <w:kern w:val="0"/>
          <w:sz w:val="20"/>
          <w:szCs w:val="20"/>
        </w:rPr>
        <w:t>The annual report was approved by the Trustees of the Charity on 23 September 2025 and signed on its behalf by:</w:t>
      </w:r>
    </w:p>
    <w:p w14:paraId="2685D95C" w14:textId="575C7C5C" w:rsidR="001818F5" w:rsidRDefault="00763C25">
      <w:pPr>
        <w:autoSpaceDE w:val="0"/>
        <w:autoSpaceDN w:val="0"/>
        <w:adjustRightInd w:val="0"/>
        <w:spacing w:before="283" w:after="100" w:line="240" w:lineRule="auto"/>
        <w:jc w:val="both"/>
        <w:rPr>
          <w:rFonts w:ascii="Arial" w:hAnsi="Arial" w:cs="Arial"/>
          <w:kern w:val="0"/>
          <w:sz w:val="20"/>
          <w:szCs w:val="20"/>
        </w:rPr>
      </w:pPr>
      <w:r w:rsidRPr="007C26CD">
        <w:rPr>
          <w:noProof/>
        </w:rPr>
        <w:drawing>
          <wp:inline distT="0" distB="0" distL="0" distR="0" wp14:anchorId="0B1B22D4" wp14:editId="3249E17E">
            <wp:extent cx="1569720" cy="8153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69720" cy="815340"/>
                    </a:xfrm>
                    <a:prstGeom prst="rect">
                      <a:avLst/>
                    </a:prstGeom>
                    <a:noFill/>
                    <a:ln>
                      <a:noFill/>
                    </a:ln>
                  </pic:spPr>
                </pic:pic>
              </a:graphicData>
            </a:graphic>
          </wp:inline>
        </w:drawing>
      </w:r>
    </w:p>
    <w:p w14:paraId="77F054F7"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9"/>
          <w:pgSz w:w="11909" w:h="16834"/>
          <w:pgMar w:top="1440" w:right="1440" w:bottom="1440" w:left="1440" w:header="720" w:footer="720" w:gutter="0"/>
          <w:cols w:space="720"/>
          <w:noEndnote/>
        </w:sectPr>
      </w:pPr>
    </w:p>
    <w:p w14:paraId="59F890EC"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2FDC9E0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Independent Examiner's Report to the trustees of Bardet-Biedl Syndrome UK</w:t>
      </w:r>
    </w:p>
    <w:p w14:paraId="3DA83D4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 report to the Trustees on my examination of the accounts of Bardet-Biedl Syndrome UK for the year ended 31 March 2025.</w:t>
      </w:r>
    </w:p>
    <w:p w14:paraId="7A439D7D" w14:textId="77777777" w:rsidR="002575C6" w:rsidRDefault="002575C6">
      <w:pPr>
        <w:autoSpaceDE w:val="0"/>
        <w:autoSpaceDN w:val="0"/>
        <w:adjustRightInd w:val="0"/>
        <w:spacing w:before="113" w:after="28" w:line="240" w:lineRule="auto"/>
        <w:rPr>
          <w:rFonts w:ascii="Times New Roman" w:hAnsi="Times New Roman"/>
          <w:kern w:val="0"/>
        </w:rPr>
      </w:pPr>
      <w:r>
        <w:rPr>
          <w:rFonts w:ascii="Arial" w:hAnsi="Arial" w:cs="Arial"/>
          <w:b/>
          <w:bCs/>
          <w:kern w:val="0"/>
          <w:sz w:val="20"/>
          <w:szCs w:val="20"/>
        </w:rPr>
        <w:t>Responsibilities and basis of report</w:t>
      </w:r>
    </w:p>
    <w:p w14:paraId="0EFDB64E" w14:textId="77777777" w:rsidR="002575C6" w:rsidRDefault="002575C6">
      <w:pPr>
        <w:autoSpaceDE w:val="0"/>
        <w:autoSpaceDN w:val="0"/>
        <w:adjustRightInd w:val="0"/>
        <w:spacing w:before="57" w:after="0" w:line="240" w:lineRule="auto"/>
        <w:jc w:val="both"/>
        <w:rPr>
          <w:rFonts w:ascii="Times New Roman" w:hAnsi="Times New Roman"/>
          <w:kern w:val="0"/>
        </w:rPr>
      </w:pPr>
      <w:r>
        <w:rPr>
          <w:rFonts w:ascii="Arial" w:hAnsi="Arial" w:cs="Arial"/>
          <w:kern w:val="0"/>
          <w:sz w:val="20"/>
          <w:szCs w:val="20"/>
        </w:rPr>
        <w:t>As the Charity Trustees of Bardet-Biedl Syndrome UK you are responsible for the preparation of the accounts in accordance with the requirements of the Charities Act 2011 (‘the Act’).</w:t>
      </w:r>
    </w:p>
    <w:p w14:paraId="36478569" w14:textId="77777777" w:rsidR="002575C6" w:rsidRDefault="002575C6">
      <w:pPr>
        <w:autoSpaceDE w:val="0"/>
        <w:autoSpaceDN w:val="0"/>
        <w:adjustRightInd w:val="0"/>
        <w:spacing w:after="0" w:line="240" w:lineRule="auto"/>
        <w:jc w:val="both"/>
        <w:rPr>
          <w:rFonts w:ascii="Times New Roman" w:hAnsi="Times New Roman"/>
          <w:kern w:val="0"/>
        </w:rPr>
      </w:pPr>
    </w:p>
    <w:p w14:paraId="70D5D40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 report in respect of my examination of the Bardet-Biedl Syndrome UK's accounts carried out under section 145 of the 2011 Act and in carrying out my examination I have followed all the applicable Directions given by the Charity Commission under section 145(5)(b) of the Act.</w:t>
      </w:r>
    </w:p>
    <w:p w14:paraId="5633E3F0" w14:textId="77777777" w:rsidR="002575C6" w:rsidRDefault="002575C6">
      <w:pPr>
        <w:autoSpaceDE w:val="0"/>
        <w:autoSpaceDN w:val="0"/>
        <w:adjustRightInd w:val="0"/>
        <w:spacing w:before="113" w:after="28" w:line="240" w:lineRule="auto"/>
        <w:rPr>
          <w:rFonts w:ascii="Times New Roman" w:hAnsi="Times New Roman"/>
          <w:kern w:val="0"/>
        </w:rPr>
      </w:pPr>
      <w:r>
        <w:rPr>
          <w:rFonts w:ascii="Arial" w:hAnsi="Arial" w:cs="Arial"/>
          <w:b/>
          <w:bCs/>
          <w:kern w:val="0"/>
          <w:sz w:val="20"/>
          <w:szCs w:val="20"/>
        </w:rPr>
        <w:t>Independent examiner’s statement</w:t>
      </w:r>
    </w:p>
    <w:p w14:paraId="1FBC4E79" w14:textId="77777777" w:rsidR="002575C6" w:rsidRDefault="002575C6">
      <w:pPr>
        <w:autoSpaceDE w:val="0"/>
        <w:autoSpaceDN w:val="0"/>
        <w:adjustRightInd w:val="0"/>
        <w:spacing w:before="57" w:after="0" w:line="240" w:lineRule="auto"/>
        <w:jc w:val="both"/>
        <w:rPr>
          <w:rFonts w:ascii="Times New Roman" w:hAnsi="Times New Roman"/>
          <w:kern w:val="0"/>
        </w:rPr>
      </w:pPr>
      <w:r>
        <w:rPr>
          <w:rFonts w:ascii="Arial" w:hAnsi="Arial" w:cs="Arial"/>
          <w:kern w:val="0"/>
          <w:sz w:val="20"/>
          <w:szCs w:val="20"/>
        </w:rPr>
        <w:t>Since Bardet-Biedl Syndrome UK's gross income exceeded £250,000 your examiner must be a member of a body listed in section 145 of the 2011 Act. I confirm that I am qualified to undertake the examination because I am a member of the ICAEW, which is one of the listed bodies.</w:t>
      </w:r>
    </w:p>
    <w:p w14:paraId="161B3B18" w14:textId="77777777" w:rsidR="002575C6" w:rsidRDefault="002575C6">
      <w:pPr>
        <w:autoSpaceDE w:val="0"/>
        <w:autoSpaceDN w:val="0"/>
        <w:adjustRightInd w:val="0"/>
        <w:spacing w:after="0" w:line="240" w:lineRule="auto"/>
        <w:jc w:val="both"/>
        <w:rPr>
          <w:rFonts w:ascii="Times New Roman" w:hAnsi="Times New Roman"/>
          <w:kern w:val="0"/>
        </w:rPr>
      </w:pPr>
    </w:p>
    <w:p w14:paraId="2DB6D7F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 have completed my examination. I confirm that no material matters have come to my attention in connection with the examination giving me cause to believe that in any material respect:</w:t>
      </w:r>
    </w:p>
    <w:tbl>
      <w:tblPr>
        <w:tblW w:w="0" w:type="auto"/>
        <w:tblLayout w:type="fixed"/>
        <w:tblCellMar>
          <w:left w:w="0" w:type="dxa"/>
          <w:right w:w="0" w:type="dxa"/>
        </w:tblCellMar>
        <w:tblLook w:val="0000" w:firstRow="0" w:lastRow="0" w:firstColumn="0" w:lastColumn="0" w:noHBand="0" w:noVBand="0"/>
      </w:tblPr>
      <w:tblGrid>
        <w:gridCol w:w="284"/>
        <w:gridCol w:w="8579"/>
      </w:tblGrid>
      <w:tr w:rsidR="002575C6" w14:paraId="11AC4171"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5A880D2C" w14:textId="77777777" w:rsidR="002575C6" w:rsidRDefault="002575C6">
            <w:pPr>
              <w:autoSpaceDE w:val="0"/>
              <w:autoSpaceDN w:val="0"/>
              <w:adjustRightInd w:val="0"/>
              <w:spacing w:before="170" w:after="100" w:line="240" w:lineRule="auto"/>
              <w:jc w:val="both"/>
              <w:rPr>
                <w:rFonts w:ascii="Times New Roman" w:hAnsi="Times New Roman"/>
                <w:kern w:val="0"/>
              </w:rPr>
            </w:pPr>
            <w:r>
              <w:rPr>
                <w:rFonts w:ascii="Arial" w:hAnsi="Arial" w:cs="Arial"/>
                <w:kern w:val="0"/>
                <w:sz w:val="20"/>
                <w:szCs w:val="20"/>
              </w:rPr>
              <w:t>1.</w:t>
            </w:r>
          </w:p>
        </w:tc>
        <w:tc>
          <w:tcPr>
            <w:tcW w:w="8579" w:type="dxa"/>
            <w:tcBorders>
              <w:top w:val="nil"/>
              <w:left w:val="nil"/>
              <w:bottom w:val="nil"/>
              <w:right w:val="nil"/>
            </w:tcBorders>
            <w:shd w:val="clear" w:color="auto" w:fill="FFFFFF"/>
            <w:vAlign w:val="center"/>
          </w:tcPr>
          <w:p w14:paraId="306E4726" w14:textId="77777777" w:rsidR="002575C6" w:rsidRDefault="002575C6">
            <w:pPr>
              <w:autoSpaceDE w:val="0"/>
              <w:autoSpaceDN w:val="0"/>
              <w:adjustRightInd w:val="0"/>
              <w:spacing w:before="170" w:after="100" w:line="240" w:lineRule="auto"/>
              <w:jc w:val="both"/>
              <w:rPr>
                <w:rFonts w:ascii="Times New Roman" w:hAnsi="Times New Roman"/>
                <w:kern w:val="0"/>
              </w:rPr>
            </w:pPr>
            <w:r>
              <w:rPr>
                <w:rFonts w:ascii="Arial" w:hAnsi="Arial" w:cs="Arial"/>
                <w:kern w:val="0"/>
                <w:sz w:val="20"/>
                <w:szCs w:val="20"/>
              </w:rPr>
              <w:t>accounting records were not kept in respect of Bardet-Biedl Syndrome UK as required by section 130 of the Act; or</w:t>
            </w:r>
          </w:p>
        </w:tc>
      </w:tr>
      <w:tr w:rsidR="002575C6" w14:paraId="52DE2B70"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18574E3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2.</w:t>
            </w:r>
          </w:p>
        </w:tc>
        <w:tc>
          <w:tcPr>
            <w:tcW w:w="8579" w:type="dxa"/>
            <w:tcBorders>
              <w:top w:val="nil"/>
              <w:left w:val="nil"/>
              <w:bottom w:val="nil"/>
              <w:right w:val="nil"/>
            </w:tcBorders>
            <w:shd w:val="clear" w:color="auto" w:fill="FFFFFF"/>
            <w:vAlign w:val="center"/>
          </w:tcPr>
          <w:p w14:paraId="6860565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accounts do not accord with those records; or</w:t>
            </w:r>
          </w:p>
        </w:tc>
      </w:tr>
      <w:tr w:rsidR="002575C6" w14:paraId="5BD622A5"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tcPr>
          <w:p w14:paraId="303558F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3.</w:t>
            </w:r>
          </w:p>
        </w:tc>
        <w:tc>
          <w:tcPr>
            <w:tcW w:w="8579" w:type="dxa"/>
            <w:tcBorders>
              <w:top w:val="nil"/>
              <w:left w:val="nil"/>
              <w:bottom w:val="nil"/>
              <w:right w:val="nil"/>
            </w:tcBorders>
            <w:shd w:val="clear" w:color="auto" w:fill="FFFFFF"/>
            <w:vAlign w:val="center"/>
          </w:tcPr>
          <w:p w14:paraId="09A3613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accounts do not comply with the accounting requirements concerning the form and content of accounts set out in the Charities (Accounts and Reports) Regulations 2008 other than any requirement that the accounts give a ‘true and fair view' which is not a matter considered as part of an independent examination.</w:t>
            </w:r>
          </w:p>
        </w:tc>
      </w:tr>
    </w:tbl>
    <w:p w14:paraId="40FC0AB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 have no concerns and have come across no other matters in connection with the examination to which attention should be drawn in this report in order to enable a proper understanding of the accounts to be reached.</w:t>
      </w:r>
    </w:p>
    <w:p w14:paraId="20337169" w14:textId="77777777" w:rsidR="002575C6" w:rsidRDefault="002575C6">
      <w:pPr>
        <w:autoSpaceDE w:val="0"/>
        <w:autoSpaceDN w:val="0"/>
        <w:adjustRightInd w:val="0"/>
        <w:spacing w:after="0" w:line="240" w:lineRule="auto"/>
        <w:jc w:val="both"/>
        <w:rPr>
          <w:rFonts w:ascii="Times New Roman" w:hAnsi="Times New Roman"/>
          <w:kern w:val="0"/>
        </w:rPr>
      </w:pPr>
    </w:p>
    <w:p w14:paraId="709290B3" w14:textId="40CB599F" w:rsidR="002575C6" w:rsidRDefault="00763C25">
      <w:pPr>
        <w:autoSpaceDE w:val="0"/>
        <w:autoSpaceDN w:val="0"/>
        <w:adjustRightInd w:val="0"/>
        <w:spacing w:after="0" w:line="240" w:lineRule="auto"/>
        <w:jc w:val="both"/>
        <w:rPr>
          <w:rFonts w:ascii="Times New Roman" w:hAnsi="Times New Roman"/>
          <w:kern w:val="0"/>
        </w:rPr>
      </w:pPr>
      <w:r>
        <w:rPr>
          <w:noProof/>
        </w:rPr>
        <w:drawing>
          <wp:inline distT="0" distB="0" distL="0" distR="0" wp14:anchorId="2B13E5C0" wp14:editId="0A963DBE">
            <wp:extent cx="1394460" cy="5105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4460" cy="510540"/>
                    </a:xfrm>
                    <a:prstGeom prst="rect">
                      <a:avLst/>
                    </a:prstGeom>
                    <a:noFill/>
                    <a:ln>
                      <a:noFill/>
                    </a:ln>
                  </pic:spPr>
                </pic:pic>
              </a:graphicData>
            </a:graphic>
          </wp:inline>
        </w:drawing>
      </w:r>
    </w:p>
    <w:p w14:paraId="41C60EC6"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w:t>
      </w:r>
    </w:p>
    <w:p w14:paraId="6631A38F"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Catherine Williams FCA DChA</w:t>
      </w:r>
    </w:p>
    <w:p w14:paraId="195C98CB"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Independent Examiner</w:t>
      </w:r>
    </w:p>
    <w:p w14:paraId="105E502F"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Westcotts (SW) LLP</w:t>
      </w:r>
    </w:p>
    <w:p w14:paraId="0D36C38A"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Chartered Accountants &amp; Statutory Auditors</w:t>
      </w:r>
    </w:p>
    <w:p w14:paraId="08F83BE9"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47 Boutport Street</w:t>
      </w:r>
    </w:p>
    <w:p w14:paraId="361F04A8"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Barnstaple</w:t>
      </w:r>
    </w:p>
    <w:p w14:paraId="5F025E8C"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Devon</w:t>
      </w:r>
    </w:p>
    <w:p w14:paraId="78F1FF9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EX31 1SQ</w:t>
      </w:r>
    </w:p>
    <w:p w14:paraId="76E64E4A" w14:textId="77777777" w:rsidR="002575C6" w:rsidRDefault="002575C6">
      <w:pPr>
        <w:autoSpaceDE w:val="0"/>
        <w:autoSpaceDN w:val="0"/>
        <w:adjustRightInd w:val="0"/>
        <w:spacing w:before="283" w:after="100" w:line="240" w:lineRule="auto"/>
        <w:jc w:val="both"/>
        <w:rPr>
          <w:rFonts w:ascii="Times New Roman" w:hAnsi="Times New Roman"/>
          <w:kern w:val="0"/>
        </w:rPr>
      </w:pPr>
      <w:r>
        <w:rPr>
          <w:rFonts w:ascii="Arial" w:hAnsi="Arial" w:cs="Arial"/>
          <w:kern w:val="0"/>
          <w:sz w:val="20"/>
          <w:szCs w:val="20"/>
        </w:rPr>
        <w:t>3 October 2025</w:t>
      </w:r>
    </w:p>
    <w:p w14:paraId="7C566D62"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1"/>
          <w:pgSz w:w="11909" w:h="16834"/>
          <w:pgMar w:top="1440" w:right="1440" w:bottom="1440" w:left="1440" w:header="720" w:footer="720" w:gutter="0"/>
          <w:cols w:space="720"/>
          <w:noEndnote/>
        </w:sectPr>
      </w:pPr>
    </w:p>
    <w:p w14:paraId="1AAF3639"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EBFF8A8"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Statement of Financial Activities for the Year Ended 31 March 2025</w:t>
      </w:r>
    </w:p>
    <w:tbl>
      <w:tblPr>
        <w:tblW w:w="0" w:type="auto"/>
        <w:tblLayout w:type="fixed"/>
        <w:tblCellMar>
          <w:left w:w="0" w:type="dxa"/>
          <w:right w:w="0" w:type="dxa"/>
        </w:tblCellMar>
        <w:tblLook w:val="0000" w:firstRow="0" w:lastRow="0" w:firstColumn="0" w:lastColumn="0" w:noHBand="0" w:noVBand="0"/>
      </w:tblPr>
      <w:tblGrid>
        <w:gridCol w:w="2454"/>
        <w:gridCol w:w="567"/>
        <w:gridCol w:w="1475"/>
        <w:gridCol w:w="1475"/>
        <w:gridCol w:w="1531"/>
        <w:gridCol w:w="1531"/>
      </w:tblGrid>
      <w:tr w:rsidR="002575C6" w14:paraId="0E6A2CC9" w14:textId="77777777">
        <w:tblPrEx>
          <w:tblCellMar>
            <w:top w:w="0" w:type="dxa"/>
            <w:left w:w="0" w:type="dxa"/>
            <w:bottom w:w="0" w:type="dxa"/>
            <w:right w:w="0" w:type="dxa"/>
          </w:tblCellMar>
        </w:tblPrEx>
        <w:tc>
          <w:tcPr>
            <w:tcW w:w="2454" w:type="dxa"/>
            <w:tcBorders>
              <w:top w:val="nil"/>
              <w:left w:val="nil"/>
              <w:bottom w:val="nil"/>
              <w:right w:val="nil"/>
            </w:tcBorders>
            <w:shd w:val="clear" w:color="auto" w:fill="FFFFFF"/>
            <w:vAlign w:val="bottom"/>
          </w:tcPr>
          <w:p w14:paraId="35B3179A"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329D4F3B"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b/>
                <w:bCs/>
                <w:kern w:val="0"/>
                <w:sz w:val="20"/>
                <w:szCs w:val="20"/>
              </w:rPr>
              <w:t>Note</w:t>
            </w:r>
          </w:p>
        </w:tc>
        <w:tc>
          <w:tcPr>
            <w:tcW w:w="1475" w:type="dxa"/>
            <w:tcBorders>
              <w:top w:val="nil"/>
              <w:left w:val="nil"/>
              <w:bottom w:val="nil"/>
              <w:right w:val="nil"/>
            </w:tcBorders>
            <w:shd w:val="clear" w:color="auto" w:fill="FFFFFF"/>
            <w:vAlign w:val="bottom"/>
          </w:tcPr>
          <w:p w14:paraId="57F54D91"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Unrestricted funds</w:t>
            </w:r>
            <w:r>
              <w:rPr>
                <w:rFonts w:ascii="Arial" w:hAnsi="Arial" w:cs="Arial"/>
                <w:b/>
                <w:bCs/>
                <w:kern w:val="0"/>
                <w:sz w:val="20"/>
                <w:szCs w:val="20"/>
              </w:rPr>
              <w:br/>
              <w:t>£</w:t>
            </w:r>
          </w:p>
        </w:tc>
        <w:tc>
          <w:tcPr>
            <w:tcW w:w="1475" w:type="dxa"/>
            <w:tcBorders>
              <w:top w:val="nil"/>
              <w:left w:val="nil"/>
              <w:bottom w:val="nil"/>
              <w:right w:val="nil"/>
            </w:tcBorders>
            <w:shd w:val="clear" w:color="auto" w:fill="FFFFFF"/>
            <w:vAlign w:val="bottom"/>
          </w:tcPr>
          <w:p w14:paraId="78ADAA49"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Restricted funds</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396AA0F7"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r>
              <w:rPr>
                <w:rFonts w:ascii="Arial" w:hAnsi="Arial" w:cs="Arial"/>
                <w:b/>
                <w:bCs/>
                <w:kern w:val="0"/>
                <w:sz w:val="20"/>
                <w:szCs w:val="20"/>
              </w:rPr>
              <w:br/>
              <w:t>2025</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AADF3A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r>
              <w:rPr>
                <w:rFonts w:ascii="Arial" w:hAnsi="Arial" w:cs="Arial"/>
                <w:b/>
                <w:bCs/>
                <w:kern w:val="0"/>
                <w:sz w:val="20"/>
                <w:szCs w:val="20"/>
              </w:rPr>
              <w:br/>
              <w:t>2024</w:t>
            </w:r>
            <w:r>
              <w:rPr>
                <w:rFonts w:ascii="Arial" w:hAnsi="Arial" w:cs="Arial"/>
                <w:b/>
                <w:bCs/>
                <w:kern w:val="0"/>
                <w:sz w:val="20"/>
                <w:szCs w:val="20"/>
              </w:rPr>
              <w:br/>
              <w:t>£</w:t>
            </w:r>
          </w:p>
        </w:tc>
      </w:tr>
      <w:tr w:rsidR="002575C6" w14:paraId="5DA9E4AF" w14:textId="77777777">
        <w:tblPrEx>
          <w:tblCellMar>
            <w:top w:w="0" w:type="dxa"/>
            <w:left w:w="0" w:type="dxa"/>
            <w:bottom w:w="0" w:type="dxa"/>
            <w:right w:w="0" w:type="dxa"/>
          </w:tblCellMar>
        </w:tblPrEx>
        <w:tc>
          <w:tcPr>
            <w:tcW w:w="9033" w:type="dxa"/>
            <w:gridSpan w:val="6"/>
            <w:tcBorders>
              <w:top w:val="nil"/>
              <w:left w:val="nil"/>
              <w:bottom w:val="nil"/>
              <w:right w:val="nil"/>
            </w:tcBorders>
            <w:shd w:val="clear" w:color="auto" w:fill="FFFFFF"/>
            <w:vAlign w:val="bottom"/>
          </w:tcPr>
          <w:p w14:paraId="1A44D4F1" w14:textId="77777777" w:rsidR="002575C6" w:rsidRDefault="002575C6">
            <w:pPr>
              <w:autoSpaceDE w:val="0"/>
              <w:autoSpaceDN w:val="0"/>
              <w:adjustRightInd w:val="0"/>
              <w:spacing w:before="113" w:after="0" w:line="240" w:lineRule="auto"/>
              <w:rPr>
                <w:rFonts w:ascii="Times New Roman" w:hAnsi="Times New Roman"/>
                <w:kern w:val="0"/>
              </w:rPr>
            </w:pPr>
            <w:r>
              <w:rPr>
                <w:rFonts w:ascii="Arial" w:hAnsi="Arial" w:cs="Arial"/>
                <w:b/>
                <w:bCs/>
                <w:kern w:val="0"/>
                <w:sz w:val="20"/>
                <w:szCs w:val="20"/>
              </w:rPr>
              <w:t>Income and Endowments from:</w:t>
            </w:r>
          </w:p>
        </w:tc>
      </w:tr>
      <w:tr w:rsidR="002575C6" w14:paraId="5BE7FD0F" w14:textId="77777777">
        <w:tblPrEx>
          <w:tblCellMar>
            <w:top w:w="0" w:type="dxa"/>
            <w:left w:w="0" w:type="dxa"/>
            <w:bottom w:w="0" w:type="dxa"/>
            <w:right w:w="0" w:type="dxa"/>
          </w:tblCellMar>
        </w:tblPrEx>
        <w:tc>
          <w:tcPr>
            <w:tcW w:w="2454" w:type="dxa"/>
            <w:tcBorders>
              <w:top w:val="nil"/>
              <w:left w:val="nil"/>
              <w:bottom w:val="nil"/>
              <w:right w:val="nil"/>
            </w:tcBorders>
            <w:shd w:val="clear" w:color="auto" w:fill="FFFFFF"/>
            <w:vAlign w:val="bottom"/>
          </w:tcPr>
          <w:p w14:paraId="59B7042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Donations and legacies</w:t>
            </w:r>
          </w:p>
        </w:tc>
        <w:tc>
          <w:tcPr>
            <w:tcW w:w="567" w:type="dxa"/>
            <w:tcBorders>
              <w:top w:val="nil"/>
              <w:left w:val="nil"/>
              <w:bottom w:val="nil"/>
              <w:right w:val="nil"/>
            </w:tcBorders>
            <w:shd w:val="clear" w:color="auto" w:fill="FFFFFF"/>
            <w:vAlign w:val="bottom"/>
          </w:tcPr>
          <w:p w14:paraId="5D286D8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2</w:t>
            </w:r>
          </w:p>
        </w:tc>
        <w:tc>
          <w:tcPr>
            <w:tcW w:w="1475" w:type="dxa"/>
            <w:tcBorders>
              <w:top w:val="nil"/>
              <w:left w:val="nil"/>
              <w:bottom w:val="nil"/>
              <w:right w:val="nil"/>
            </w:tcBorders>
            <w:shd w:val="clear" w:color="auto" w:fill="FFFFFF"/>
            <w:vAlign w:val="bottom"/>
          </w:tcPr>
          <w:p w14:paraId="72FE571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140,436</w:t>
            </w:r>
          </w:p>
        </w:tc>
        <w:tc>
          <w:tcPr>
            <w:tcW w:w="1475" w:type="dxa"/>
            <w:tcBorders>
              <w:top w:val="nil"/>
              <w:left w:val="nil"/>
              <w:bottom w:val="nil"/>
              <w:right w:val="nil"/>
            </w:tcBorders>
            <w:shd w:val="clear" w:color="auto" w:fill="FFFFFF"/>
            <w:vAlign w:val="bottom"/>
          </w:tcPr>
          <w:p w14:paraId="2260DE8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30,018</w:t>
            </w:r>
          </w:p>
        </w:tc>
        <w:tc>
          <w:tcPr>
            <w:tcW w:w="1531" w:type="dxa"/>
            <w:tcBorders>
              <w:top w:val="nil"/>
              <w:left w:val="nil"/>
              <w:bottom w:val="nil"/>
              <w:right w:val="nil"/>
            </w:tcBorders>
            <w:shd w:val="clear" w:color="auto" w:fill="FFFFFF"/>
            <w:vAlign w:val="bottom"/>
          </w:tcPr>
          <w:p w14:paraId="7945EFE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170,454</w:t>
            </w:r>
          </w:p>
        </w:tc>
        <w:tc>
          <w:tcPr>
            <w:tcW w:w="1531" w:type="dxa"/>
            <w:tcBorders>
              <w:top w:val="nil"/>
              <w:left w:val="nil"/>
              <w:bottom w:val="nil"/>
              <w:right w:val="nil"/>
            </w:tcBorders>
            <w:shd w:val="clear" w:color="auto" w:fill="FFFFFF"/>
            <w:vAlign w:val="bottom"/>
          </w:tcPr>
          <w:p w14:paraId="0B12663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130,082</w:t>
            </w:r>
          </w:p>
        </w:tc>
      </w:tr>
      <w:tr w:rsidR="002575C6" w14:paraId="19B0430D" w14:textId="77777777">
        <w:tblPrEx>
          <w:tblCellMar>
            <w:top w:w="0" w:type="dxa"/>
            <w:left w:w="0" w:type="dxa"/>
            <w:bottom w:w="0" w:type="dxa"/>
            <w:right w:w="0" w:type="dxa"/>
          </w:tblCellMar>
        </w:tblPrEx>
        <w:tc>
          <w:tcPr>
            <w:tcW w:w="2454" w:type="dxa"/>
            <w:tcBorders>
              <w:top w:val="nil"/>
              <w:left w:val="nil"/>
              <w:bottom w:val="nil"/>
              <w:right w:val="nil"/>
            </w:tcBorders>
            <w:shd w:val="clear" w:color="auto" w:fill="FFFFFF"/>
            <w:vAlign w:val="bottom"/>
          </w:tcPr>
          <w:p w14:paraId="6DE4015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Charitable activities</w:t>
            </w:r>
          </w:p>
        </w:tc>
        <w:tc>
          <w:tcPr>
            <w:tcW w:w="567" w:type="dxa"/>
            <w:tcBorders>
              <w:top w:val="nil"/>
              <w:left w:val="nil"/>
              <w:bottom w:val="nil"/>
              <w:right w:val="nil"/>
            </w:tcBorders>
            <w:shd w:val="clear" w:color="auto" w:fill="FFFFFF"/>
            <w:vAlign w:val="bottom"/>
          </w:tcPr>
          <w:p w14:paraId="5F13443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3</w:t>
            </w:r>
          </w:p>
        </w:tc>
        <w:tc>
          <w:tcPr>
            <w:tcW w:w="1475" w:type="dxa"/>
            <w:tcBorders>
              <w:top w:val="nil"/>
              <w:left w:val="nil"/>
              <w:bottom w:val="nil"/>
              <w:right w:val="nil"/>
            </w:tcBorders>
            <w:shd w:val="clear" w:color="auto" w:fill="FFFFFF"/>
            <w:vAlign w:val="bottom"/>
          </w:tcPr>
          <w:p w14:paraId="012D9A7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223,444</w:t>
            </w:r>
          </w:p>
        </w:tc>
        <w:tc>
          <w:tcPr>
            <w:tcW w:w="1475" w:type="dxa"/>
            <w:tcBorders>
              <w:top w:val="nil"/>
              <w:left w:val="nil"/>
              <w:bottom w:val="nil"/>
              <w:right w:val="nil"/>
            </w:tcBorders>
            <w:shd w:val="clear" w:color="auto" w:fill="FFFFFF"/>
            <w:vAlign w:val="bottom"/>
          </w:tcPr>
          <w:p w14:paraId="4D8BE44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0AC16D3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223,444</w:t>
            </w:r>
          </w:p>
        </w:tc>
        <w:tc>
          <w:tcPr>
            <w:tcW w:w="1531" w:type="dxa"/>
            <w:tcBorders>
              <w:top w:val="nil"/>
              <w:left w:val="nil"/>
              <w:bottom w:val="nil"/>
              <w:right w:val="nil"/>
            </w:tcBorders>
            <w:shd w:val="clear" w:color="auto" w:fill="FFFFFF"/>
            <w:vAlign w:val="bottom"/>
          </w:tcPr>
          <w:p w14:paraId="3987616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181,107</w:t>
            </w:r>
          </w:p>
        </w:tc>
      </w:tr>
      <w:tr w:rsidR="002575C6" w14:paraId="7C7C5A72" w14:textId="77777777">
        <w:tblPrEx>
          <w:tblCellMar>
            <w:top w:w="0" w:type="dxa"/>
            <w:left w:w="0" w:type="dxa"/>
            <w:bottom w:w="0" w:type="dxa"/>
            <w:right w:w="0" w:type="dxa"/>
          </w:tblCellMar>
        </w:tblPrEx>
        <w:tc>
          <w:tcPr>
            <w:tcW w:w="2454" w:type="dxa"/>
            <w:tcBorders>
              <w:top w:val="nil"/>
              <w:left w:val="nil"/>
              <w:bottom w:val="nil"/>
              <w:right w:val="nil"/>
            </w:tcBorders>
            <w:shd w:val="clear" w:color="auto" w:fill="FFFFFF"/>
            <w:vAlign w:val="bottom"/>
          </w:tcPr>
          <w:p w14:paraId="1A08F7A8"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trading activities</w:t>
            </w:r>
          </w:p>
        </w:tc>
        <w:tc>
          <w:tcPr>
            <w:tcW w:w="567" w:type="dxa"/>
            <w:tcBorders>
              <w:top w:val="nil"/>
              <w:left w:val="nil"/>
              <w:bottom w:val="nil"/>
              <w:right w:val="nil"/>
            </w:tcBorders>
            <w:shd w:val="clear" w:color="auto" w:fill="FFFFFF"/>
            <w:vAlign w:val="bottom"/>
          </w:tcPr>
          <w:p w14:paraId="6511A8C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4</w:t>
            </w:r>
          </w:p>
        </w:tc>
        <w:tc>
          <w:tcPr>
            <w:tcW w:w="1475" w:type="dxa"/>
            <w:tcBorders>
              <w:top w:val="nil"/>
              <w:left w:val="nil"/>
              <w:bottom w:val="nil"/>
              <w:right w:val="nil"/>
            </w:tcBorders>
            <w:shd w:val="clear" w:color="auto" w:fill="FFFFFF"/>
            <w:vAlign w:val="bottom"/>
          </w:tcPr>
          <w:p w14:paraId="7184650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475" w:type="dxa"/>
            <w:tcBorders>
              <w:top w:val="nil"/>
              <w:left w:val="nil"/>
              <w:bottom w:val="nil"/>
              <w:right w:val="nil"/>
            </w:tcBorders>
            <w:shd w:val="clear" w:color="auto" w:fill="FFFFFF"/>
            <w:vAlign w:val="bottom"/>
          </w:tcPr>
          <w:p w14:paraId="7F23D69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1CEC492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2FC039F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2,534</w:t>
            </w:r>
          </w:p>
        </w:tc>
      </w:tr>
      <w:tr w:rsidR="002575C6" w14:paraId="57EC94F5" w14:textId="77777777">
        <w:tblPrEx>
          <w:tblCellMar>
            <w:top w:w="0" w:type="dxa"/>
            <w:left w:w="0" w:type="dxa"/>
            <w:bottom w:w="0" w:type="dxa"/>
            <w:right w:w="0" w:type="dxa"/>
          </w:tblCellMar>
        </w:tblPrEx>
        <w:tc>
          <w:tcPr>
            <w:tcW w:w="2454" w:type="dxa"/>
            <w:tcBorders>
              <w:top w:val="nil"/>
              <w:left w:val="nil"/>
              <w:bottom w:val="nil"/>
              <w:right w:val="nil"/>
            </w:tcBorders>
            <w:shd w:val="clear" w:color="auto" w:fill="FFFFFF"/>
            <w:vAlign w:val="bottom"/>
          </w:tcPr>
          <w:p w14:paraId="49A6BD93"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Investment income</w:t>
            </w:r>
          </w:p>
        </w:tc>
        <w:tc>
          <w:tcPr>
            <w:tcW w:w="567" w:type="dxa"/>
            <w:tcBorders>
              <w:top w:val="nil"/>
              <w:left w:val="nil"/>
              <w:bottom w:val="nil"/>
              <w:right w:val="nil"/>
            </w:tcBorders>
            <w:shd w:val="clear" w:color="auto" w:fill="FFFFFF"/>
            <w:vAlign w:val="bottom"/>
          </w:tcPr>
          <w:p w14:paraId="1CC39B7A"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5</w:t>
            </w:r>
          </w:p>
        </w:tc>
        <w:tc>
          <w:tcPr>
            <w:tcW w:w="1475" w:type="dxa"/>
            <w:tcBorders>
              <w:top w:val="nil"/>
              <w:left w:val="nil"/>
              <w:bottom w:val="nil"/>
              <w:right w:val="nil"/>
            </w:tcBorders>
            <w:shd w:val="clear" w:color="auto" w:fill="FFFFFF"/>
            <w:vAlign w:val="bottom"/>
          </w:tcPr>
          <w:p w14:paraId="1730607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850</w:t>
            </w:r>
          </w:p>
        </w:tc>
        <w:tc>
          <w:tcPr>
            <w:tcW w:w="1475" w:type="dxa"/>
            <w:tcBorders>
              <w:top w:val="nil"/>
              <w:left w:val="nil"/>
              <w:bottom w:val="nil"/>
              <w:right w:val="nil"/>
            </w:tcBorders>
            <w:shd w:val="clear" w:color="auto" w:fill="FFFFFF"/>
            <w:vAlign w:val="bottom"/>
          </w:tcPr>
          <w:p w14:paraId="35F1006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79A96D7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850</w:t>
            </w:r>
          </w:p>
        </w:tc>
        <w:tc>
          <w:tcPr>
            <w:tcW w:w="1531" w:type="dxa"/>
            <w:tcBorders>
              <w:top w:val="nil"/>
              <w:left w:val="nil"/>
              <w:bottom w:val="nil"/>
              <w:right w:val="nil"/>
            </w:tcBorders>
            <w:shd w:val="clear" w:color="auto" w:fill="FFFFFF"/>
            <w:vAlign w:val="bottom"/>
          </w:tcPr>
          <w:p w14:paraId="73D89C2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664</w:t>
            </w:r>
          </w:p>
        </w:tc>
      </w:tr>
      <w:tr w:rsidR="002575C6" w14:paraId="53BFE7CF" w14:textId="77777777">
        <w:tblPrEx>
          <w:tblCellMar>
            <w:top w:w="0" w:type="dxa"/>
            <w:left w:w="0" w:type="dxa"/>
            <w:bottom w:w="0" w:type="dxa"/>
            <w:right w:w="0" w:type="dxa"/>
          </w:tblCellMar>
        </w:tblPrEx>
        <w:tc>
          <w:tcPr>
            <w:tcW w:w="2454" w:type="dxa"/>
            <w:tcBorders>
              <w:top w:val="nil"/>
              <w:left w:val="nil"/>
              <w:bottom w:val="nil"/>
              <w:right w:val="nil"/>
            </w:tcBorders>
            <w:shd w:val="clear" w:color="auto" w:fill="FFFFFF"/>
            <w:vAlign w:val="bottom"/>
          </w:tcPr>
          <w:p w14:paraId="2A1B6BC6"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income</w:t>
            </w:r>
          </w:p>
        </w:tc>
        <w:tc>
          <w:tcPr>
            <w:tcW w:w="567" w:type="dxa"/>
            <w:tcBorders>
              <w:top w:val="nil"/>
              <w:left w:val="nil"/>
              <w:bottom w:val="nil"/>
              <w:right w:val="nil"/>
            </w:tcBorders>
            <w:shd w:val="clear" w:color="auto" w:fill="FFFFFF"/>
            <w:vAlign w:val="bottom"/>
          </w:tcPr>
          <w:p w14:paraId="79024C9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6</w:t>
            </w:r>
          </w:p>
        </w:tc>
        <w:tc>
          <w:tcPr>
            <w:tcW w:w="1475" w:type="dxa"/>
            <w:tcBorders>
              <w:top w:val="nil"/>
              <w:left w:val="nil"/>
              <w:bottom w:val="single" w:sz="2" w:space="0" w:color="auto"/>
              <w:right w:val="nil"/>
            </w:tcBorders>
            <w:shd w:val="clear" w:color="auto" w:fill="FFFFFF"/>
            <w:vAlign w:val="bottom"/>
          </w:tcPr>
          <w:p w14:paraId="6840350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1,000</w:t>
            </w:r>
          </w:p>
        </w:tc>
        <w:tc>
          <w:tcPr>
            <w:tcW w:w="1475" w:type="dxa"/>
            <w:tcBorders>
              <w:top w:val="nil"/>
              <w:left w:val="nil"/>
              <w:bottom w:val="single" w:sz="2" w:space="0" w:color="auto"/>
              <w:right w:val="nil"/>
            </w:tcBorders>
            <w:shd w:val="clear" w:color="auto" w:fill="FFFFFF"/>
            <w:vAlign w:val="bottom"/>
          </w:tcPr>
          <w:p w14:paraId="023E81F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single" w:sz="2" w:space="0" w:color="auto"/>
              <w:right w:val="nil"/>
            </w:tcBorders>
            <w:shd w:val="clear" w:color="auto" w:fill="FFFFFF"/>
            <w:vAlign w:val="bottom"/>
          </w:tcPr>
          <w:p w14:paraId="330BC9D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1,000</w:t>
            </w:r>
          </w:p>
        </w:tc>
        <w:tc>
          <w:tcPr>
            <w:tcW w:w="1531" w:type="dxa"/>
            <w:tcBorders>
              <w:top w:val="nil"/>
              <w:left w:val="nil"/>
              <w:bottom w:val="single" w:sz="2" w:space="0" w:color="auto"/>
              <w:right w:val="nil"/>
            </w:tcBorders>
            <w:shd w:val="clear" w:color="auto" w:fill="FFFFFF"/>
            <w:vAlign w:val="bottom"/>
          </w:tcPr>
          <w:p w14:paraId="664A843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1,400</w:t>
            </w:r>
          </w:p>
        </w:tc>
      </w:tr>
      <w:tr w:rsidR="002575C6" w14:paraId="140EE99C" w14:textId="77777777">
        <w:tblPrEx>
          <w:tblCellMar>
            <w:top w:w="0" w:type="dxa"/>
            <w:left w:w="0" w:type="dxa"/>
            <w:bottom w:w="0" w:type="dxa"/>
            <w:right w:w="0" w:type="dxa"/>
          </w:tblCellMar>
        </w:tblPrEx>
        <w:tc>
          <w:tcPr>
            <w:tcW w:w="2454" w:type="dxa"/>
            <w:tcBorders>
              <w:top w:val="nil"/>
              <w:left w:val="nil"/>
              <w:bottom w:val="nil"/>
              <w:right w:val="nil"/>
            </w:tcBorders>
            <w:shd w:val="clear" w:color="auto" w:fill="FFFFFF"/>
            <w:vAlign w:val="bottom"/>
          </w:tcPr>
          <w:p w14:paraId="042CCD44"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Total income</w:t>
            </w:r>
          </w:p>
        </w:tc>
        <w:tc>
          <w:tcPr>
            <w:tcW w:w="567" w:type="dxa"/>
            <w:tcBorders>
              <w:top w:val="nil"/>
              <w:left w:val="nil"/>
              <w:bottom w:val="nil"/>
              <w:right w:val="nil"/>
            </w:tcBorders>
            <w:shd w:val="clear" w:color="auto" w:fill="FFFFFF"/>
            <w:vAlign w:val="bottom"/>
          </w:tcPr>
          <w:p w14:paraId="45CB4DBE" w14:textId="77777777" w:rsidR="002575C6" w:rsidRDefault="002575C6">
            <w:pPr>
              <w:autoSpaceDE w:val="0"/>
              <w:autoSpaceDN w:val="0"/>
              <w:adjustRightInd w:val="0"/>
              <w:spacing w:after="0" w:line="240" w:lineRule="auto"/>
              <w:rPr>
                <w:rFonts w:ascii="Times New Roman" w:hAnsi="Times New Roman"/>
                <w:kern w:val="0"/>
              </w:rPr>
            </w:pPr>
          </w:p>
        </w:tc>
        <w:tc>
          <w:tcPr>
            <w:tcW w:w="1475" w:type="dxa"/>
            <w:tcBorders>
              <w:top w:val="nil"/>
              <w:left w:val="nil"/>
              <w:bottom w:val="single" w:sz="2" w:space="0" w:color="auto"/>
              <w:right w:val="nil"/>
            </w:tcBorders>
            <w:shd w:val="clear" w:color="auto" w:fill="FFFFFF"/>
            <w:vAlign w:val="bottom"/>
          </w:tcPr>
          <w:p w14:paraId="23725A0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365,730</w:t>
            </w:r>
          </w:p>
        </w:tc>
        <w:tc>
          <w:tcPr>
            <w:tcW w:w="1475" w:type="dxa"/>
            <w:tcBorders>
              <w:top w:val="nil"/>
              <w:left w:val="nil"/>
              <w:bottom w:val="single" w:sz="2" w:space="0" w:color="auto"/>
              <w:right w:val="nil"/>
            </w:tcBorders>
            <w:shd w:val="clear" w:color="auto" w:fill="FFFFFF"/>
            <w:vAlign w:val="bottom"/>
          </w:tcPr>
          <w:p w14:paraId="74F4768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30,018</w:t>
            </w:r>
          </w:p>
        </w:tc>
        <w:tc>
          <w:tcPr>
            <w:tcW w:w="1531" w:type="dxa"/>
            <w:tcBorders>
              <w:top w:val="nil"/>
              <w:left w:val="nil"/>
              <w:bottom w:val="single" w:sz="2" w:space="0" w:color="auto"/>
              <w:right w:val="nil"/>
            </w:tcBorders>
            <w:shd w:val="clear" w:color="auto" w:fill="FFFFFF"/>
            <w:vAlign w:val="bottom"/>
          </w:tcPr>
          <w:p w14:paraId="617373B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395,748</w:t>
            </w:r>
          </w:p>
        </w:tc>
        <w:tc>
          <w:tcPr>
            <w:tcW w:w="1531" w:type="dxa"/>
            <w:tcBorders>
              <w:top w:val="nil"/>
              <w:left w:val="nil"/>
              <w:bottom w:val="single" w:sz="2" w:space="0" w:color="auto"/>
              <w:right w:val="nil"/>
            </w:tcBorders>
            <w:shd w:val="clear" w:color="auto" w:fill="FFFFFF"/>
            <w:vAlign w:val="bottom"/>
          </w:tcPr>
          <w:p w14:paraId="252B956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315,787</w:t>
            </w:r>
          </w:p>
        </w:tc>
      </w:tr>
      <w:tr w:rsidR="002575C6" w14:paraId="6A5B7E6C" w14:textId="77777777">
        <w:tblPrEx>
          <w:tblCellMar>
            <w:top w:w="0" w:type="dxa"/>
            <w:left w:w="0" w:type="dxa"/>
            <w:bottom w:w="0" w:type="dxa"/>
            <w:right w:w="0" w:type="dxa"/>
          </w:tblCellMar>
        </w:tblPrEx>
        <w:tc>
          <w:tcPr>
            <w:tcW w:w="9033" w:type="dxa"/>
            <w:gridSpan w:val="6"/>
            <w:tcBorders>
              <w:top w:val="nil"/>
              <w:left w:val="nil"/>
              <w:bottom w:val="nil"/>
              <w:right w:val="nil"/>
            </w:tcBorders>
            <w:shd w:val="clear" w:color="auto" w:fill="FFFFFF"/>
            <w:vAlign w:val="bottom"/>
          </w:tcPr>
          <w:p w14:paraId="1B24B5B4" w14:textId="77777777" w:rsidR="002575C6" w:rsidRDefault="002575C6">
            <w:pPr>
              <w:autoSpaceDE w:val="0"/>
              <w:autoSpaceDN w:val="0"/>
              <w:adjustRightInd w:val="0"/>
              <w:spacing w:before="113" w:after="0" w:line="240" w:lineRule="auto"/>
              <w:rPr>
                <w:rFonts w:ascii="Times New Roman" w:hAnsi="Times New Roman"/>
                <w:kern w:val="0"/>
              </w:rPr>
            </w:pPr>
            <w:r>
              <w:rPr>
                <w:rFonts w:ascii="Arial" w:hAnsi="Arial" w:cs="Arial"/>
                <w:b/>
                <w:bCs/>
                <w:kern w:val="0"/>
                <w:sz w:val="20"/>
                <w:szCs w:val="20"/>
              </w:rPr>
              <w:t>Expenditure on:</w:t>
            </w:r>
          </w:p>
        </w:tc>
      </w:tr>
      <w:tr w:rsidR="002575C6" w14:paraId="13E2DA7F" w14:textId="77777777">
        <w:tblPrEx>
          <w:tblCellMar>
            <w:top w:w="0" w:type="dxa"/>
            <w:left w:w="0" w:type="dxa"/>
            <w:bottom w:w="0" w:type="dxa"/>
            <w:right w:w="0" w:type="dxa"/>
          </w:tblCellMar>
        </w:tblPrEx>
        <w:tc>
          <w:tcPr>
            <w:tcW w:w="2454" w:type="dxa"/>
            <w:tcBorders>
              <w:top w:val="nil"/>
              <w:left w:val="nil"/>
              <w:bottom w:val="nil"/>
              <w:right w:val="nil"/>
            </w:tcBorders>
            <w:shd w:val="clear" w:color="auto" w:fill="FFFFFF"/>
            <w:vAlign w:val="bottom"/>
          </w:tcPr>
          <w:p w14:paraId="530DF2BD"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Raising funds</w:t>
            </w:r>
          </w:p>
        </w:tc>
        <w:tc>
          <w:tcPr>
            <w:tcW w:w="567" w:type="dxa"/>
            <w:tcBorders>
              <w:top w:val="nil"/>
              <w:left w:val="nil"/>
              <w:bottom w:val="nil"/>
              <w:right w:val="nil"/>
            </w:tcBorders>
            <w:shd w:val="clear" w:color="auto" w:fill="FFFFFF"/>
            <w:vAlign w:val="bottom"/>
          </w:tcPr>
          <w:p w14:paraId="5926200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7</w:t>
            </w:r>
          </w:p>
        </w:tc>
        <w:tc>
          <w:tcPr>
            <w:tcW w:w="1475" w:type="dxa"/>
            <w:tcBorders>
              <w:top w:val="nil"/>
              <w:left w:val="nil"/>
              <w:bottom w:val="nil"/>
              <w:right w:val="nil"/>
            </w:tcBorders>
            <w:shd w:val="clear" w:color="auto" w:fill="FFFFFF"/>
            <w:vAlign w:val="bottom"/>
          </w:tcPr>
          <w:p w14:paraId="26A70DC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(1,919)</w:t>
            </w:r>
          </w:p>
        </w:tc>
        <w:tc>
          <w:tcPr>
            <w:tcW w:w="1475" w:type="dxa"/>
            <w:tcBorders>
              <w:top w:val="nil"/>
              <w:left w:val="nil"/>
              <w:bottom w:val="nil"/>
              <w:right w:val="nil"/>
            </w:tcBorders>
            <w:shd w:val="clear" w:color="auto" w:fill="FFFFFF"/>
            <w:vAlign w:val="bottom"/>
          </w:tcPr>
          <w:p w14:paraId="71C73F7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03DB75D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(1,919)</w:t>
            </w:r>
          </w:p>
        </w:tc>
        <w:tc>
          <w:tcPr>
            <w:tcW w:w="1531" w:type="dxa"/>
            <w:tcBorders>
              <w:top w:val="nil"/>
              <w:left w:val="nil"/>
              <w:bottom w:val="nil"/>
              <w:right w:val="nil"/>
            </w:tcBorders>
            <w:shd w:val="clear" w:color="auto" w:fill="FFFFFF"/>
            <w:vAlign w:val="bottom"/>
          </w:tcPr>
          <w:p w14:paraId="1545052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(1,094)</w:t>
            </w:r>
          </w:p>
        </w:tc>
      </w:tr>
      <w:tr w:rsidR="002575C6" w14:paraId="1685F1F1" w14:textId="77777777">
        <w:tblPrEx>
          <w:tblCellMar>
            <w:top w:w="0" w:type="dxa"/>
            <w:left w:w="0" w:type="dxa"/>
            <w:bottom w:w="0" w:type="dxa"/>
            <w:right w:w="0" w:type="dxa"/>
          </w:tblCellMar>
        </w:tblPrEx>
        <w:tc>
          <w:tcPr>
            <w:tcW w:w="2454" w:type="dxa"/>
            <w:tcBorders>
              <w:top w:val="nil"/>
              <w:left w:val="nil"/>
              <w:bottom w:val="nil"/>
              <w:right w:val="nil"/>
            </w:tcBorders>
            <w:shd w:val="clear" w:color="auto" w:fill="FFFFFF"/>
            <w:vAlign w:val="bottom"/>
          </w:tcPr>
          <w:p w14:paraId="00E4F842"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Charitable activities</w:t>
            </w:r>
          </w:p>
        </w:tc>
        <w:tc>
          <w:tcPr>
            <w:tcW w:w="567" w:type="dxa"/>
            <w:tcBorders>
              <w:top w:val="nil"/>
              <w:left w:val="nil"/>
              <w:bottom w:val="nil"/>
              <w:right w:val="nil"/>
            </w:tcBorders>
            <w:shd w:val="clear" w:color="auto" w:fill="FFFFFF"/>
            <w:vAlign w:val="bottom"/>
          </w:tcPr>
          <w:p w14:paraId="6B149F57"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8</w:t>
            </w:r>
          </w:p>
        </w:tc>
        <w:tc>
          <w:tcPr>
            <w:tcW w:w="1475" w:type="dxa"/>
            <w:tcBorders>
              <w:top w:val="nil"/>
              <w:left w:val="nil"/>
              <w:bottom w:val="single" w:sz="2" w:space="0" w:color="auto"/>
              <w:right w:val="nil"/>
            </w:tcBorders>
            <w:shd w:val="clear" w:color="auto" w:fill="FFFFFF"/>
            <w:vAlign w:val="bottom"/>
          </w:tcPr>
          <w:p w14:paraId="1131C29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(285,617)</w:t>
            </w:r>
          </w:p>
        </w:tc>
        <w:tc>
          <w:tcPr>
            <w:tcW w:w="1475" w:type="dxa"/>
            <w:tcBorders>
              <w:top w:val="nil"/>
              <w:left w:val="nil"/>
              <w:bottom w:val="single" w:sz="2" w:space="0" w:color="auto"/>
              <w:right w:val="nil"/>
            </w:tcBorders>
            <w:shd w:val="clear" w:color="auto" w:fill="FFFFFF"/>
            <w:vAlign w:val="bottom"/>
          </w:tcPr>
          <w:p w14:paraId="3D04101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(7,140)</w:t>
            </w:r>
          </w:p>
        </w:tc>
        <w:tc>
          <w:tcPr>
            <w:tcW w:w="1531" w:type="dxa"/>
            <w:tcBorders>
              <w:top w:val="nil"/>
              <w:left w:val="nil"/>
              <w:bottom w:val="single" w:sz="2" w:space="0" w:color="auto"/>
              <w:right w:val="nil"/>
            </w:tcBorders>
            <w:shd w:val="clear" w:color="auto" w:fill="FFFFFF"/>
            <w:vAlign w:val="bottom"/>
          </w:tcPr>
          <w:p w14:paraId="5FE9793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(292,757)</w:t>
            </w:r>
          </w:p>
        </w:tc>
        <w:tc>
          <w:tcPr>
            <w:tcW w:w="1531" w:type="dxa"/>
            <w:tcBorders>
              <w:top w:val="nil"/>
              <w:left w:val="nil"/>
              <w:bottom w:val="single" w:sz="2" w:space="0" w:color="auto"/>
              <w:right w:val="nil"/>
            </w:tcBorders>
            <w:shd w:val="clear" w:color="auto" w:fill="FFFFFF"/>
            <w:vAlign w:val="bottom"/>
          </w:tcPr>
          <w:p w14:paraId="1ADC751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(278,072)</w:t>
            </w:r>
          </w:p>
        </w:tc>
      </w:tr>
      <w:tr w:rsidR="002575C6" w14:paraId="59638B12" w14:textId="77777777">
        <w:tblPrEx>
          <w:tblCellMar>
            <w:top w:w="0" w:type="dxa"/>
            <w:left w:w="0" w:type="dxa"/>
            <w:bottom w:w="0" w:type="dxa"/>
            <w:right w:w="0" w:type="dxa"/>
          </w:tblCellMar>
        </w:tblPrEx>
        <w:tc>
          <w:tcPr>
            <w:tcW w:w="2454" w:type="dxa"/>
            <w:tcBorders>
              <w:top w:val="nil"/>
              <w:left w:val="nil"/>
              <w:bottom w:val="nil"/>
              <w:right w:val="nil"/>
            </w:tcBorders>
            <w:shd w:val="clear" w:color="auto" w:fill="FFFFFF"/>
            <w:vAlign w:val="bottom"/>
          </w:tcPr>
          <w:p w14:paraId="2B9F6F90"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Total expenditure</w:t>
            </w:r>
          </w:p>
        </w:tc>
        <w:tc>
          <w:tcPr>
            <w:tcW w:w="567" w:type="dxa"/>
            <w:tcBorders>
              <w:top w:val="nil"/>
              <w:left w:val="nil"/>
              <w:bottom w:val="nil"/>
              <w:right w:val="nil"/>
            </w:tcBorders>
            <w:shd w:val="clear" w:color="auto" w:fill="FFFFFF"/>
            <w:vAlign w:val="bottom"/>
          </w:tcPr>
          <w:p w14:paraId="1E87A5F4" w14:textId="77777777" w:rsidR="002575C6" w:rsidRDefault="002575C6">
            <w:pPr>
              <w:autoSpaceDE w:val="0"/>
              <w:autoSpaceDN w:val="0"/>
              <w:adjustRightInd w:val="0"/>
              <w:spacing w:after="0" w:line="240" w:lineRule="auto"/>
              <w:rPr>
                <w:rFonts w:ascii="Times New Roman" w:hAnsi="Times New Roman"/>
                <w:kern w:val="0"/>
              </w:rPr>
            </w:pPr>
          </w:p>
        </w:tc>
        <w:tc>
          <w:tcPr>
            <w:tcW w:w="1475" w:type="dxa"/>
            <w:tcBorders>
              <w:top w:val="nil"/>
              <w:left w:val="nil"/>
              <w:bottom w:val="single" w:sz="2" w:space="0" w:color="auto"/>
              <w:right w:val="nil"/>
            </w:tcBorders>
            <w:shd w:val="clear" w:color="auto" w:fill="FFFFFF"/>
            <w:vAlign w:val="bottom"/>
          </w:tcPr>
          <w:p w14:paraId="54F655C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(287,536)</w:t>
            </w:r>
          </w:p>
        </w:tc>
        <w:tc>
          <w:tcPr>
            <w:tcW w:w="1475" w:type="dxa"/>
            <w:tcBorders>
              <w:top w:val="nil"/>
              <w:left w:val="nil"/>
              <w:bottom w:val="single" w:sz="2" w:space="0" w:color="auto"/>
              <w:right w:val="nil"/>
            </w:tcBorders>
            <w:shd w:val="clear" w:color="auto" w:fill="FFFFFF"/>
            <w:vAlign w:val="bottom"/>
          </w:tcPr>
          <w:p w14:paraId="0945D93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(7,140)</w:t>
            </w:r>
          </w:p>
        </w:tc>
        <w:tc>
          <w:tcPr>
            <w:tcW w:w="1531" w:type="dxa"/>
            <w:tcBorders>
              <w:top w:val="nil"/>
              <w:left w:val="nil"/>
              <w:bottom w:val="single" w:sz="2" w:space="0" w:color="auto"/>
              <w:right w:val="nil"/>
            </w:tcBorders>
            <w:shd w:val="clear" w:color="auto" w:fill="FFFFFF"/>
            <w:vAlign w:val="bottom"/>
          </w:tcPr>
          <w:p w14:paraId="57A9BFC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(294,676)</w:t>
            </w:r>
          </w:p>
        </w:tc>
        <w:tc>
          <w:tcPr>
            <w:tcW w:w="1531" w:type="dxa"/>
            <w:tcBorders>
              <w:top w:val="nil"/>
              <w:left w:val="nil"/>
              <w:bottom w:val="single" w:sz="2" w:space="0" w:color="auto"/>
              <w:right w:val="nil"/>
            </w:tcBorders>
            <w:shd w:val="clear" w:color="auto" w:fill="FFFFFF"/>
            <w:vAlign w:val="bottom"/>
          </w:tcPr>
          <w:p w14:paraId="262E4D9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(279,166)</w:t>
            </w:r>
          </w:p>
        </w:tc>
      </w:tr>
      <w:tr w:rsidR="002575C6" w14:paraId="380F4030" w14:textId="77777777">
        <w:tblPrEx>
          <w:tblCellMar>
            <w:top w:w="0" w:type="dxa"/>
            <w:left w:w="0" w:type="dxa"/>
            <w:bottom w:w="0" w:type="dxa"/>
            <w:right w:w="0" w:type="dxa"/>
          </w:tblCellMar>
        </w:tblPrEx>
        <w:tc>
          <w:tcPr>
            <w:tcW w:w="2454" w:type="dxa"/>
            <w:tcBorders>
              <w:top w:val="nil"/>
              <w:left w:val="nil"/>
              <w:bottom w:val="nil"/>
              <w:right w:val="nil"/>
            </w:tcBorders>
            <w:shd w:val="clear" w:color="auto" w:fill="FFFFFF"/>
            <w:vAlign w:val="bottom"/>
          </w:tcPr>
          <w:p w14:paraId="5ADB1CFC"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Net income</w:t>
            </w:r>
          </w:p>
        </w:tc>
        <w:tc>
          <w:tcPr>
            <w:tcW w:w="567" w:type="dxa"/>
            <w:tcBorders>
              <w:top w:val="nil"/>
              <w:left w:val="nil"/>
              <w:bottom w:val="nil"/>
              <w:right w:val="nil"/>
            </w:tcBorders>
            <w:shd w:val="clear" w:color="auto" w:fill="FFFFFF"/>
            <w:vAlign w:val="bottom"/>
          </w:tcPr>
          <w:p w14:paraId="22F3DB85" w14:textId="77777777" w:rsidR="002575C6" w:rsidRDefault="002575C6">
            <w:pPr>
              <w:autoSpaceDE w:val="0"/>
              <w:autoSpaceDN w:val="0"/>
              <w:adjustRightInd w:val="0"/>
              <w:spacing w:after="0" w:line="240" w:lineRule="auto"/>
              <w:rPr>
                <w:rFonts w:ascii="Times New Roman" w:hAnsi="Times New Roman"/>
                <w:kern w:val="0"/>
              </w:rPr>
            </w:pPr>
          </w:p>
        </w:tc>
        <w:tc>
          <w:tcPr>
            <w:tcW w:w="1475" w:type="dxa"/>
            <w:tcBorders>
              <w:top w:val="nil"/>
              <w:left w:val="nil"/>
              <w:bottom w:val="single" w:sz="2" w:space="0" w:color="auto"/>
              <w:right w:val="nil"/>
            </w:tcBorders>
            <w:shd w:val="clear" w:color="auto" w:fill="FFFFFF"/>
            <w:vAlign w:val="bottom"/>
          </w:tcPr>
          <w:p w14:paraId="00394D5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78,194</w:t>
            </w:r>
          </w:p>
        </w:tc>
        <w:tc>
          <w:tcPr>
            <w:tcW w:w="1475" w:type="dxa"/>
            <w:tcBorders>
              <w:top w:val="nil"/>
              <w:left w:val="nil"/>
              <w:bottom w:val="single" w:sz="2" w:space="0" w:color="auto"/>
              <w:right w:val="nil"/>
            </w:tcBorders>
            <w:shd w:val="clear" w:color="auto" w:fill="FFFFFF"/>
            <w:vAlign w:val="bottom"/>
          </w:tcPr>
          <w:p w14:paraId="3158DC2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22,878</w:t>
            </w:r>
          </w:p>
        </w:tc>
        <w:tc>
          <w:tcPr>
            <w:tcW w:w="1531" w:type="dxa"/>
            <w:tcBorders>
              <w:top w:val="nil"/>
              <w:left w:val="nil"/>
              <w:bottom w:val="single" w:sz="2" w:space="0" w:color="auto"/>
              <w:right w:val="nil"/>
            </w:tcBorders>
            <w:shd w:val="clear" w:color="auto" w:fill="FFFFFF"/>
            <w:vAlign w:val="bottom"/>
          </w:tcPr>
          <w:p w14:paraId="3902539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101,072</w:t>
            </w:r>
          </w:p>
        </w:tc>
        <w:tc>
          <w:tcPr>
            <w:tcW w:w="1531" w:type="dxa"/>
            <w:tcBorders>
              <w:top w:val="nil"/>
              <w:left w:val="nil"/>
              <w:bottom w:val="single" w:sz="2" w:space="0" w:color="auto"/>
              <w:right w:val="nil"/>
            </w:tcBorders>
            <w:shd w:val="clear" w:color="auto" w:fill="FFFFFF"/>
            <w:vAlign w:val="bottom"/>
          </w:tcPr>
          <w:p w14:paraId="294E333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36,621</w:t>
            </w:r>
          </w:p>
        </w:tc>
      </w:tr>
      <w:tr w:rsidR="002575C6" w14:paraId="013130F6" w14:textId="77777777">
        <w:tblPrEx>
          <w:tblCellMar>
            <w:top w:w="0" w:type="dxa"/>
            <w:left w:w="0" w:type="dxa"/>
            <w:bottom w:w="0" w:type="dxa"/>
            <w:right w:w="0" w:type="dxa"/>
          </w:tblCellMar>
        </w:tblPrEx>
        <w:tc>
          <w:tcPr>
            <w:tcW w:w="2454" w:type="dxa"/>
            <w:tcBorders>
              <w:top w:val="nil"/>
              <w:left w:val="nil"/>
              <w:bottom w:val="nil"/>
              <w:right w:val="nil"/>
            </w:tcBorders>
            <w:shd w:val="clear" w:color="auto" w:fill="FFFFFF"/>
            <w:vAlign w:val="bottom"/>
          </w:tcPr>
          <w:p w14:paraId="3C1E334D"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Net movement in funds</w:t>
            </w:r>
          </w:p>
        </w:tc>
        <w:tc>
          <w:tcPr>
            <w:tcW w:w="567" w:type="dxa"/>
            <w:tcBorders>
              <w:top w:val="nil"/>
              <w:left w:val="nil"/>
              <w:bottom w:val="nil"/>
              <w:right w:val="nil"/>
            </w:tcBorders>
            <w:shd w:val="clear" w:color="auto" w:fill="FFFFFF"/>
            <w:vAlign w:val="bottom"/>
          </w:tcPr>
          <w:p w14:paraId="6DA2DDD9" w14:textId="77777777" w:rsidR="002575C6" w:rsidRDefault="002575C6">
            <w:pPr>
              <w:autoSpaceDE w:val="0"/>
              <w:autoSpaceDN w:val="0"/>
              <w:adjustRightInd w:val="0"/>
              <w:spacing w:after="0" w:line="240" w:lineRule="auto"/>
              <w:rPr>
                <w:rFonts w:ascii="Times New Roman" w:hAnsi="Times New Roman"/>
                <w:kern w:val="0"/>
              </w:rPr>
            </w:pPr>
          </w:p>
        </w:tc>
        <w:tc>
          <w:tcPr>
            <w:tcW w:w="1475" w:type="dxa"/>
            <w:tcBorders>
              <w:top w:val="nil"/>
              <w:left w:val="nil"/>
              <w:bottom w:val="nil"/>
              <w:right w:val="nil"/>
            </w:tcBorders>
            <w:shd w:val="clear" w:color="auto" w:fill="FFFFFF"/>
            <w:vAlign w:val="bottom"/>
          </w:tcPr>
          <w:p w14:paraId="1C25B59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78,194</w:t>
            </w:r>
          </w:p>
        </w:tc>
        <w:tc>
          <w:tcPr>
            <w:tcW w:w="1475" w:type="dxa"/>
            <w:tcBorders>
              <w:top w:val="nil"/>
              <w:left w:val="nil"/>
              <w:bottom w:val="nil"/>
              <w:right w:val="nil"/>
            </w:tcBorders>
            <w:shd w:val="clear" w:color="auto" w:fill="FFFFFF"/>
            <w:vAlign w:val="bottom"/>
          </w:tcPr>
          <w:p w14:paraId="6DB4EB2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22,878</w:t>
            </w:r>
          </w:p>
        </w:tc>
        <w:tc>
          <w:tcPr>
            <w:tcW w:w="1531" w:type="dxa"/>
            <w:tcBorders>
              <w:top w:val="nil"/>
              <w:left w:val="nil"/>
              <w:bottom w:val="nil"/>
              <w:right w:val="nil"/>
            </w:tcBorders>
            <w:shd w:val="clear" w:color="auto" w:fill="FFFFFF"/>
            <w:vAlign w:val="bottom"/>
          </w:tcPr>
          <w:p w14:paraId="50AEFE7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101,072</w:t>
            </w:r>
          </w:p>
        </w:tc>
        <w:tc>
          <w:tcPr>
            <w:tcW w:w="1531" w:type="dxa"/>
            <w:tcBorders>
              <w:top w:val="nil"/>
              <w:left w:val="nil"/>
              <w:bottom w:val="nil"/>
              <w:right w:val="nil"/>
            </w:tcBorders>
            <w:shd w:val="clear" w:color="auto" w:fill="FFFFFF"/>
            <w:vAlign w:val="bottom"/>
          </w:tcPr>
          <w:p w14:paraId="6464919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36,621</w:t>
            </w:r>
          </w:p>
        </w:tc>
      </w:tr>
      <w:tr w:rsidR="002575C6" w14:paraId="659207AD" w14:textId="77777777">
        <w:tblPrEx>
          <w:tblCellMar>
            <w:top w:w="0" w:type="dxa"/>
            <w:left w:w="0" w:type="dxa"/>
            <w:bottom w:w="0" w:type="dxa"/>
            <w:right w:w="0" w:type="dxa"/>
          </w:tblCellMar>
        </w:tblPrEx>
        <w:tc>
          <w:tcPr>
            <w:tcW w:w="9033" w:type="dxa"/>
            <w:gridSpan w:val="6"/>
            <w:tcBorders>
              <w:top w:val="nil"/>
              <w:left w:val="nil"/>
              <w:bottom w:val="nil"/>
              <w:right w:val="nil"/>
            </w:tcBorders>
            <w:shd w:val="clear" w:color="auto" w:fill="FFFFFF"/>
            <w:vAlign w:val="bottom"/>
          </w:tcPr>
          <w:p w14:paraId="572FF334" w14:textId="77777777" w:rsidR="002575C6" w:rsidRDefault="002575C6">
            <w:pPr>
              <w:autoSpaceDE w:val="0"/>
              <w:autoSpaceDN w:val="0"/>
              <w:adjustRightInd w:val="0"/>
              <w:spacing w:before="113" w:after="0" w:line="240" w:lineRule="auto"/>
              <w:rPr>
                <w:rFonts w:ascii="Times New Roman" w:hAnsi="Times New Roman"/>
                <w:kern w:val="0"/>
              </w:rPr>
            </w:pPr>
            <w:r>
              <w:rPr>
                <w:rFonts w:ascii="Arial" w:hAnsi="Arial" w:cs="Arial"/>
                <w:b/>
                <w:bCs/>
                <w:kern w:val="0"/>
                <w:sz w:val="20"/>
                <w:szCs w:val="20"/>
              </w:rPr>
              <w:t>Reconciliation of funds</w:t>
            </w:r>
          </w:p>
        </w:tc>
      </w:tr>
      <w:tr w:rsidR="002575C6" w14:paraId="746504B1" w14:textId="77777777">
        <w:tblPrEx>
          <w:tblCellMar>
            <w:top w:w="0" w:type="dxa"/>
            <w:left w:w="0" w:type="dxa"/>
            <w:bottom w:w="0" w:type="dxa"/>
            <w:right w:w="0" w:type="dxa"/>
          </w:tblCellMar>
        </w:tblPrEx>
        <w:tc>
          <w:tcPr>
            <w:tcW w:w="2454" w:type="dxa"/>
            <w:tcBorders>
              <w:top w:val="nil"/>
              <w:left w:val="nil"/>
              <w:bottom w:val="nil"/>
              <w:right w:val="nil"/>
            </w:tcBorders>
            <w:shd w:val="clear" w:color="auto" w:fill="FFFFFF"/>
            <w:vAlign w:val="bottom"/>
          </w:tcPr>
          <w:p w14:paraId="2E3D71D5"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Total funds brought forward</w:t>
            </w:r>
          </w:p>
        </w:tc>
        <w:tc>
          <w:tcPr>
            <w:tcW w:w="567" w:type="dxa"/>
            <w:tcBorders>
              <w:top w:val="nil"/>
              <w:left w:val="nil"/>
              <w:bottom w:val="nil"/>
              <w:right w:val="nil"/>
            </w:tcBorders>
            <w:shd w:val="clear" w:color="auto" w:fill="FFFFFF"/>
            <w:vAlign w:val="bottom"/>
          </w:tcPr>
          <w:p w14:paraId="0644C722" w14:textId="77777777" w:rsidR="002575C6" w:rsidRDefault="002575C6">
            <w:pPr>
              <w:autoSpaceDE w:val="0"/>
              <w:autoSpaceDN w:val="0"/>
              <w:adjustRightInd w:val="0"/>
              <w:spacing w:after="0" w:line="240" w:lineRule="auto"/>
              <w:rPr>
                <w:rFonts w:ascii="Times New Roman" w:hAnsi="Times New Roman"/>
                <w:kern w:val="0"/>
              </w:rPr>
            </w:pPr>
          </w:p>
        </w:tc>
        <w:tc>
          <w:tcPr>
            <w:tcW w:w="1475" w:type="dxa"/>
            <w:tcBorders>
              <w:top w:val="nil"/>
              <w:left w:val="nil"/>
              <w:bottom w:val="single" w:sz="2" w:space="0" w:color="auto"/>
              <w:right w:val="nil"/>
            </w:tcBorders>
            <w:shd w:val="clear" w:color="auto" w:fill="FFFFFF"/>
            <w:vAlign w:val="bottom"/>
          </w:tcPr>
          <w:p w14:paraId="1798132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198,877</w:t>
            </w:r>
          </w:p>
        </w:tc>
        <w:tc>
          <w:tcPr>
            <w:tcW w:w="1475" w:type="dxa"/>
            <w:tcBorders>
              <w:top w:val="nil"/>
              <w:left w:val="nil"/>
              <w:bottom w:val="single" w:sz="2" w:space="0" w:color="auto"/>
              <w:right w:val="nil"/>
            </w:tcBorders>
            <w:shd w:val="clear" w:color="auto" w:fill="FFFFFF"/>
            <w:vAlign w:val="bottom"/>
          </w:tcPr>
          <w:p w14:paraId="4023BB0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c>
          <w:tcPr>
            <w:tcW w:w="1531" w:type="dxa"/>
            <w:tcBorders>
              <w:top w:val="nil"/>
              <w:left w:val="nil"/>
              <w:bottom w:val="single" w:sz="2" w:space="0" w:color="auto"/>
              <w:right w:val="nil"/>
            </w:tcBorders>
            <w:shd w:val="clear" w:color="auto" w:fill="FFFFFF"/>
            <w:vAlign w:val="bottom"/>
          </w:tcPr>
          <w:p w14:paraId="35CAB8A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201,667</w:t>
            </w:r>
          </w:p>
        </w:tc>
        <w:tc>
          <w:tcPr>
            <w:tcW w:w="1531" w:type="dxa"/>
            <w:tcBorders>
              <w:top w:val="nil"/>
              <w:left w:val="nil"/>
              <w:bottom w:val="single" w:sz="2" w:space="0" w:color="auto"/>
              <w:right w:val="nil"/>
            </w:tcBorders>
            <w:shd w:val="clear" w:color="auto" w:fill="FFFFFF"/>
            <w:vAlign w:val="bottom"/>
          </w:tcPr>
          <w:p w14:paraId="3D1BF3C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165,046</w:t>
            </w:r>
          </w:p>
        </w:tc>
      </w:tr>
      <w:tr w:rsidR="002575C6" w14:paraId="0A25CE2C" w14:textId="77777777">
        <w:tblPrEx>
          <w:tblCellMar>
            <w:top w:w="0" w:type="dxa"/>
            <w:left w:w="0" w:type="dxa"/>
            <w:bottom w:w="0" w:type="dxa"/>
            <w:right w:w="0" w:type="dxa"/>
          </w:tblCellMar>
        </w:tblPrEx>
        <w:tc>
          <w:tcPr>
            <w:tcW w:w="2454" w:type="dxa"/>
            <w:tcBorders>
              <w:top w:val="nil"/>
              <w:left w:val="nil"/>
              <w:bottom w:val="nil"/>
              <w:right w:val="nil"/>
            </w:tcBorders>
            <w:shd w:val="clear" w:color="auto" w:fill="FFFFFF"/>
            <w:vAlign w:val="bottom"/>
          </w:tcPr>
          <w:p w14:paraId="6271F8DA"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Total funds carried forward</w:t>
            </w:r>
          </w:p>
        </w:tc>
        <w:tc>
          <w:tcPr>
            <w:tcW w:w="567" w:type="dxa"/>
            <w:tcBorders>
              <w:top w:val="nil"/>
              <w:left w:val="nil"/>
              <w:bottom w:val="nil"/>
              <w:right w:val="nil"/>
            </w:tcBorders>
            <w:shd w:val="clear" w:color="auto" w:fill="FFFFFF"/>
            <w:vAlign w:val="bottom"/>
          </w:tcPr>
          <w:p w14:paraId="4964BB7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20</w:t>
            </w:r>
          </w:p>
        </w:tc>
        <w:tc>
          <w:tcPr>
            <w:tcW w:w="1475" w:type="dxa"/>
            <w:tcBorders>
              <w:top w:val="nil"/>
              <w:left w:val="nil"/>
              <w:bottom w:val="double" w:sz="2" w:space="0" w:color="auto"/>
              <w:right w:val="nil"/>
            </w:tcBorders>
            <w:shd w:val="clear" w:color="auto" w:fill="FFFFFF"/>
            <w:vAlign w:val="bottom"/>
          </w:tcPr>
          <w:p w14:paraId="38783F7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277,071</w:t>
            </w:r>
          </w:p>
        </w:tc>
        <w:tc>
          <w:tcPr>
            <w:tcW w:w="1475" w:type="dxa"/>
            <w:tcBorders>
              <w:top w:val="nil"/>
              <w:left w:val="nil"/>
              <w:bottom w:val="double" w:sz="2" w:space="0" w:color="auto"/>
              <w:right w:val="nil"/>
            </w:tcBorders>
            <w:shd w:val="clear" w:color="auto" w:fill="FFFFFF"/>
            <w:vAlign w:val="bottom"/>
          </w:tcPr>
          <w:p w14:paraId="78266D8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25,668</w:t>
            </w:r>
          </w:p>
        </w:tc>
        <w:tc>
          <w:tcPr>
            <w:tcW w:w="1531" w:type="dxa"/>
            <w:tcBorders>
              <w:top w:val="nil"/>
              <w:left w:val="nil"/>
              <w:bottom w:val="double" w:sz="2" w:space="0" w:color="auto"/>
              <w:right w:val="nil"/>
            </w:tcBorders>
            <w:shd w:val="clear" w:color="auto" w:fill="FFFFFF"/>
            <w:vAlign w:val="bottom"/>
          </w:tcPr>
          <w:p w14:paraId="7545871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302,739</w:t>
            </w:r>
          </w:p>
        </w:tc>
        <w:tc>
          <w:tcPr>
            <w:tcW w:w="1531" w:type="dxa"/>
            <w:tcBorders>
              <w:top w:val="nil"/>
              <w:left w:val="nil"/>
              <w:bottom w:val="double" w:sz="2" w:space="0" w:color="auto"/>
              <w:right w:val="nil"/>
            </w:tcBorders>
            <w:shd w:val="clear" w:color="auto" w:fill="FFFFFF"/>
            <w:vAlign w:val="bottom"/>
          </w:tcPr>
          <w:p w14:paraId="075CB20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201,667</w:t>
            </w:r>
          </w:p>
        </w:tc>
      </w:tr>
    </w:tbl>
    <w:p w14:paraId="6763207C" w14:textId="77777777" w:rsidR="002575C6" w:rsidRDefault="002575C6">
      <w:pPr>
        <w:autoSpaceDE w:val="0"/>
        <w:autoSpaceDN w:val="0"/>
        <w:adjustRightInd w:val="0"/>
        <w:spacing w:before="283" w:after="100" w:line="240" w:lineRule="auto"/>
        <w:jc w:val="both"/>
        <w:rPr>
          <w:rFonts w:ascii="Times New Roman" w:hAnsi="Times New Roman"/>
          <w:kern w:val="0"/>
        </w:rPr>
      </w:pPr>
      <w:r>
        <w:rPr>
          <w:rFonts w:ascii="Arial" w:hAnsi="Arial" w:cs="Arial"/>
          <w:kern w:val="0"/>
          <w:sz w:val="20"/>
          <w:szCs w:val="20"/>
        </w:rPr>
        <w:t>All of the Charity's activities derive from continuing operations during the above two periods.</w:t>
      </w:r>
    </w:p>
    <w:p w14:paraId="60E21F3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funds breakdown for 2024 is shown in note 20.</w:t>
      </w:r>
    </w:p>
    <w:p w14:paraId="5DD48FF1"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2"/>
          <w:pgSz w:w="11909" w:h="16834"/>
          <w:pgMar w:top="1440" w:right="1440" w:bottom="1440" w:left="1440" w:header="720" w:footer="720" w:gutter="0"/>
          <w:cols w:space="720"/>
          <w:noEndnote/>
        </w:sectPr>
      </w:pPr>
    </w:p>
    <w:p w14:paraId="3EA30045"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0E4E2A3D" w14:textId="77777777" w:rsidR="002575C6" w:rsidRDefault="002575C6">
      <w:pPr>
        <w:autoSpaceDE w:val="0"/>
        <w:autoSpaceDN w:val="0"/>
        <w:adjustRightInd w:val="0"/>
        <w:spacing w:after="0" w:line="240" w:lineRule="auto"/>
        <w:rPr>
          <w:rFonts w:ascii="Times New Roman" w:hAnsi="Times New Roman"/>
          <w:kern w:val="0"/>
        </w:rPr>
      </w:pPr>
      <w:r>
        <w:rPr>
          <w:rFonts w:ascii="Arial" w:hAnsi="Arial" w:cs="Arial"/>
          <w:b/>
          <w:bCs/>
          <w:kern w:val="0"/>
        </w:rPr>
        <w:t>(Registration number: 1181244)</w:t>
      </w:r>
    </w:p>
    <w:p w14:paraId="67B73176"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Balance Sheet as at 31 March 2025</w:t>
      </w:r>
    </w:p>
    <w:tbl>
      <w:tblPr>
        <w:tblW w:w="0" w:type="auto"/>
        <w:tblLayout w:type="fixed"/>
        <w:tblCellMar>
          <w:left w:w="0" w:type="dxa"/>
          <w:right w:w="0" w:type="dxa"/>
        </w:tblCellMar>
        <w:tblLook w:val="0000" w:firstRow="0" w:lastRow="0" w:firstColumn="0" w:lastColumn="0" w:noHBand="0" w:noVBand="0"/>
      </w:tblPr>
      <w:tblGrid>
        <w:gridCol w:w="5403"/>
        <w:gridCol w:w="567"/>
        <w:gridCol w:w="1531"/>
        <w:gridCol w:w="1532"/>
      </w:tblGrid>
      <w:tr w:rsidR="002575C6" w14:paraId="05C9EB0D"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79F16AC2"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3D998E16"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b/>
                <w:bCs/>
                <w:kern w:val="0"/>
                <w:sz w:val="20"/>
                <w:szCs w:val="20"/>
              </w:rPr>
              <w:t>Note</w:t>
            </w:r>
          </w:p>
        </w:tc>
        <w:tc>
          <w:tcPr>
            <w:tcW w:w="1531" w:type="dxa"/>
            <w:tcBorders>
              <w:top w:val="nil"/>
              <w:left w:val="nil"/>
              <w:bottom w:val="nil"/>
              <w:right w:val="nil"/>
            </w:tcBorders>
            <w:shd w:val="clear" w:color="auto" w:fill="FFFFFF"/>
            <w:vAlign w:val="bottom"/>
          </w:tcPr>
          <w:p w14:paraId="46ECB457"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01CF38F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20963611"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2E4AFA7D"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Fixed assets</w:t>
            </w:r>
          </w:p>
        </w:tc>
        <w:tc>
          <w:tcPr>
            <w:tcW w:w="567" w:type="dxa"/>
            <w:tcBorders>
              <w:top w:val="nil"/>
              <w:left w:val="nil"/>
              <w:bottom w:val="nil"/>
              <w:right w:val="nil"/>
            </w:tcBorders>
            <w:shd w:val="clear" w:color="auto" w:fill="FFFFFF"/>
            <w:vAlign w:val="bottom"/>
          </w:tcPr>
          <w:p w14:paraId="0D7850B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BBC3EE0"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FC4EBC8" w14:textId="77777777" w:rsidR="002575C6" w:rsidRDefault="002575C6">
            <w:pPr>
              <w:autoSpaceDE w:val="0"/>
              <w:autoSpaceDN w:val="0"/>
              <w:adjustRightInd w:val="0"/>
              <w:spacing w:after="0" w:line="240" w:lineRule="auto"/>
              <w:rPr>
                <w:rFonts w:ascii="Times New Roman" w:hAnsi="Times New Roman"/>
                <w:kern w:val="0"/>
              </w:rPr>
            </w:pPr>
          </w:p>
        </w:tc>
      </w:tr>
      <w:tr w:rsidR="002575C6" w14:paraId="7873DCBD"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3DA4FEE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Tangible assets</w:t>
            </w:r>
          </w:p>
        </w:tc>
        <w:tc>
          <w:tcPr>
            <w:tcW w:w="567" w:type="dxa"/>
            <w:tcBorders>
              <w:top w:val="nil"/>
              <w:left w:val="nil"/>
              <w:bottom w:val="nil"/>
              <w:right w:val="nil"/>
            </w:tcBorders>
            <w:shd w:val="clear" w:color="auto" w:fill="FFFFFF"/>
            <w:vAlign w:val="bottom"/>
          </w:tcPr>
          <w:p w14:paraId="7DD467EA"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15</w:t>
            </w:r>
          </w:p>
        </w:tc>
        <w:tc>
          <w:tcPr>
            <w:tcW w:w="1531" w:type="dxa"/>
            <w:tcBorders>
              <w:top w:val="nil"/>
              <w:left w:val="nil"/>
              <w:bottom w:val="nil"/>
              <w:right w:val="nil"/>
            </w:tcBorders>
            <w:shd w:val="clear" w:color="auto" w:fill="FFFFFF"/>
            <w:vAlign w:val="bottom"/>
          </w:tcPr>
          <w:p w14:paraId="58A3877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5,137</w:t>
            </w:r>
          </w:p>
        </w:tc>
        <w:tc>
          <w:tcPr>
            <w:tcW w:w="1531" w:type="dxa"/>
            <w:tcBorders>
              <w:top w:val="nil"/>
              <w:left w:val="nil"/>
              <w:bottom w:val="nil"/>
              <w:right w:val="nil"/>
            </w:tcBorders>
            <w:shd w:val="clear" w:color="auto" w:fill="FFFFFF"/>
            <w:vAlign w:val="bottom"/>
          </w:tcPr>
          <w:p w14:paraId="149021F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r>
      <w:tr w:rsidR="002575C6" w14:paraId="4D3E6AA8"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0FE840F7"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Current assets</w:t>
            </w:r>
          </w:p>
        </w:tc>
        <w:tc>
          <w:tcPr>
            <w:tcW w:w="567" w:type="dxa"/>
            <w:tcBorders>
              <w:top w:val="nil"/>
              <w:left w:val="nil"/>
              <w:bottom w:val="nil"/>
              <w:right w:val="nil"/>
            </w:tcBorders>
            <w:shd w:val="clear" w:color="auto" w:fill="FFFFFF"/>
            <w:vAlign w:val="bottom"/>
          </w:tcPr>
          <w:p w14:paraId="5C10F269"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11308635"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D994D7D" w14:textId="77777777" w:rsidR="002575C6" w:rsidRDefault="002575C6">
            <w:pPr>
              <w:autoSpaceDE w:val="0"/>
              <w:autoSpaceDN w:val="0"/>
              <w:adjustRightInd w:val="0"/>
              <w:spacing w:after="0" w:line="240" w:lineRule="auto"/>
              <w:rPr>
                <w:rFonts w:ascii="Times New Roman" w:hAnsi="Times New Roman"/>
                <w:kern w:val="0"/>
              </w:rPr>
            </w:pPr>
          </w:p>
        </w:tc>
      </w:tr>
      <w:tr w:rsidR="002575C6" w14:paraId="470E3559"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6E8E9C59"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Debtors</w:t>
            </w:r>
          </w:p>
        </w:tc>
        <w:tc>
          <w:tcPr>
            <w:tcW w:w="567" w:type="dxa"/>
            <w:tcBorders>
              <w:top w:val="nil"/>
              <w:left w:val="nil"/>
              <w:bottom w:val="nil"/>
              <w:right w:val="nil"/>
            </w:tcBorders>
            <w:shd w:val="clear" w:color="auto" w:fill="FFFFFF"/>
            <w:vAlign w:val="bottom"/>
          </w:tcPr>
          <w:p w14:paraId="7011030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16</w:t>
            </w:r>
          </w:p>
        </w:tc>
        <w:tc>
          <w:tcPr>
            <w:tcW w:w="1531" w:type="dxa"/>
            <w:tcBorders>
              <w:top w:val="nil"/>
              <w:left w:val="nil"/>
              <w:bottom w:val="nil"/>
              <w:right w:val="nil"/>
            </w:tcBorders>
            <w:shd w:val="clear" w:color="auto" w:fill="FFFFFF"/>
            <w:vAlign w:val="bottom"/>
          </w:tcPr>
          <w:p w14:paraId="57AF32A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91,502</w:t>
            </w:r>
          </w:p>
        </w:tc>
        <w:tc>
          <w:tcPr>
            <w:tcW w:w="1531" w:type="dxa"/>
            <w:tcBorders>
              <w:top w:val="nil"/>
              <w:left w:val="nil"/>
              <w:bottom w:val="nil"/>
              <w:right w:val="nil"/>
            </w:tcBorders>
            <w:shd w:val="clear" w:color="auto" w:fill="FFFFFF"/>
            <w:vAlign w:val="bottom"/>
          </w:tcPr>
          <w:p w14:paraId="7738547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19,861</w:t>
            </w:r>
          </w:p>
        </w:tc>
      </w:tr>
      <w:tr w:rsidR="002575C6" w14:paraId="048205E9"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07216D9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Cash at bank and in hand</w:t>
            </w:r>
          </w:p>
        </w:tc>
        <w:tc>
          <w:tcPr>
            <w:tcW w:w="567" w:type="dxa"/>
            <w:tcBorders>
              <w:top w:val="nil"/>
              <w:left w:val="nil"/>
              <w:bottom w:val="nil"/>
              <w:right w:val="nil"/>
            </w:tcBorders>
            <w:shd w:val="clear" w:color="auto" w:fill="FFFFFF"/>
            <w:vAlign w:val="bottom"/>
          </w:tcPr>
          <w:p w14:paraId="28757CD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17</w:t>
            </w:r>
          </w:p>
        </w:tc>
        <w:tc>
          <w:tcPr>
            <w:tcW w:w="1531" w:type="dxa"/>
            <w:tcBorders>
              <w:top w:val="nil"/>
              <w:left w:val="nil"/>
              <w:bottom w:val="single" w:sz="2" w:space="0" w:color="auto"/>
              <w:right w:val="nil"/>
            </w:tcBorders>
            <w:shd w:val="clear" w:color="auto" w:fill="FFFFFF"/>
            <w:vAlign w:val="bottom"/>
          </w:tcPr>
          <w:p w14:paraId="3E4409A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226,878</w:t>
            </w:r>
          </w:p>
        </w:tc>
        <w:tc>
          <w:tcPr>
            <w:tcW w:w="1531" w:type="dxa"/>
            <w:tcBorders>
              <w:top w:val="nil"/>
              <w:left w:val="nil"/>
              <w:bottom w:val="single" w:sz="2" w:space="0" w:color="auto"/>
              <w:right w:val="nil"/>
            </w:tcBorders>
            <w:shd w:val="clear" w:color="auto" w:fill="FFFFFF"/>
            <w:vAlign w:val="bottom"/>
          </w:tcPr>
          <w:p w14:paraId="5333C7B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194,231</w:t>
            </w:r>
          </w:p>
        </w:tc>
      </w:tr>
      <w:tr w:rsidR="002575C6" w14:paraId="55526057"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0B297F3C"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5202CE2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0AA9DB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318,380</w:t>
            </w:r>
          </w:p>
        </w:tc>
        <w:tc>
          <w:tcPr>
            <w:tcW w:w="1531" w:type="dxa"/>
            <w:tcBorders>
              <w:top w:val="nil"/>
              <w:left w:val="nil"/>
              <w:bottom w:val="nil"/>
              <w:right w:val="nil"/>
            </w:tcBorders>
            <w:shd w:val="clear" w:color="auto" w:fill="FFFFFF"/>
            <w:vAlign w:val="bottom"/>
          </w:tcPr>
          <w:p w14:paraId="3C70FAC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214,092</w:t>
            </w:r>
          </w:p>
        </w:tc>
      </w:tr>
      <w:tr w:rsidR="002575C6" w14:paraId="5D81B906"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5446C996"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Creditors: Amounts falling due within one year</w:t>
            </w:r>
          </w:p>
        </w:tc>
        <w:tc>
          <w:tcPr>
            <w:tcW w:w="567" w:type="dxa"/>
            <w:tcBorders>
              <w:top w:val="nil"/>
              <w:left w:val="nil"/>
              <w:bottom w:val="nil"/>
              <w:right w:val="nil"/>
            </w:tcBorders>
            <w:shd w:val="clear" w:color="auto" w:fill="FFFFFF"/>
            <w:vAlign w:val="bottom"/>
          </w:tcPr>
          <w:p w14:paraId="3AB0737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18</w:t>
            </w:r>
          </w:p>
        </w:tc>
        <w:tc>
          <w:tcPr>
            <w:tcW w:w="1531" w:type="dxa"/>
            <w:tcBorders>
              <w:top w:val="nil"/>
              <w:left w:val="nil"/>
              <w:bottom w:val="single" w:sz="2" w:space="0" w:color="auto"/>
              <w:right w:val="nil"/>
            </w:tcBorders>
            <w:shd w:val="clear" w:color="auto" w:fill="FFFFFF"/>
            <w:vAlign w:val="bottom"/>
          </w:tcPr>
          <w:p w14:paraId="1E4B166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(20,778)</w:t>
            </w:r>
          </w:p>
        </w:tc>
        <w:tc>
          <w:tcPr>
            <w:tcW w:w="1531" w:type="dxa"/>
            <w:tcBorders>
              <w:top w:val="nil"/>
              <w:left w:val="nil"/>
              <w:bottom w:val="single" w:sz="2" w:space="0" w:color="auto"/>
              <w:right w:val="nil"/>
            </w:tcBorders>
            <w:shd w:val="clear" w:color="auto" w:fill="FFFFFF"/>
            <w:vAlign w:val="bottom"/>
          </w:tcPr>
          <w:p w14:paraId="41A7CD7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(15,666)</w:t>
            </w:r>
          </w:p>
        </w:tc>
      </w:tr>
      <w:tr w:rsidR="002575C6" w14:paraId="3284F253"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54A40BDF"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 xml:space="preserve">Net current </w:t>
            </w:r>
            <w:r>
              <w:rPr>
                <w:rFonts w:ascii="Arial" w:hAnsi="Arial" w:cs="Arial"/>
                <w:kern w:val="0"/>
                <w:sz w:val="20"/>
                <w:szCs w:val="20"/>
              </w:rPr>
              <w:t>assets</w:t>
            </w:r>
          </w:p>
        </w:tc>
        <w:tc>
          <w:tcPr>
            <w:tcW w:w="567" w:type="dxa"/>
            <w:tcBorders>
              <w:top w:val="nil"/>
              <w:left w:val="nil"/>
              <w:bottom w:val="nil"/>
              <w:right w:val="nil"/>
            </w:tcBorders>
            <w:shd w:val="clear" w:color="auto" w:fill="FFFFFF"/>
            <w:vAlign w:val="bottom"/>
          </w:tcPr>
          <w:p w14:paraId="34684B0B"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single" w:sz="2" w:space="0" w:color="auto"/>
              <w:right w:val="nil"/>
            </w:tcBorders>
            <w:shd w:val="clear" w:color="auto" w:fill="FFFFFF"/>
            <w:vAlign w:val="bottom"/>
          </w:tcPr>
          <w:p w14:paraId="2013C77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297,602</w:t>
            </w:r>
          </w:p>
        </w:tc>
        <w:tc>
          <w:tcPr>
            <w:tcW w:w="1531" w:type="dxa"/>
            <w:tcBorders>
              <w:top w:val="nil"/>
              <w:left w:val="nil"/>
              <w:bottom w:val="single" w:sz="2" w:space="0" w:color="auto"/>
              <w:right w:val="nil"/>
            </w:tcBorders>
            <w:shd w:val="clear" w:color="auto" w:fill="FFFFFF"/>
            <w:vAlign w:val="bottom"/>
          </w:tcPr>
          <w:p w14:paraId="31D77A8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198,426</w:t>
            </w:r>
          </w:p>
        </w:tc>
      </w:tr>
      <w:tr w:rsidR="002575C6" w14:paraId="7C7D8D1D"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31512D19"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 xml:space="preserve">Net </w:t>
            </w:r>
            <w:r>
              <w:rPr>
                <w:rFonts w:ascii="Arial" w:hAnsi="Arial" w:cs="Arial"/>
                <w:kern w:val="0"/>
                <w:sz w:val="20"/>
                <w:szCs w:val="20"/>
              </w:rPr>
              <w:t>assets</w:t>
            </w:r>
          </w:p>
        </w:tc>
        <w:tc>
          <w:tcPr>
            <w:tcW w:w="567" w:type="dxa"/>
            <w:tcBorders>
              <w:top w:val="nil"/>
              <w:left w:val="nil"/>
              <w:bottom w:val="nil"/>
              <w:right w:val="nil"/>
            </w:tcBorders>
            <w:shd w:val="clear" w:color="auto" w:fill="FFFFFF"/>
            <w:vAlign w:val="bottom"/>
          </w:tcPr>
          <w:p w14:paraId="123BF4D9"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212CD75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302,739</w:t>
            </w:r>
          </w:p>
        </w:tc>
        <w:tc>
          <w:tcPr>
            <w:tcW w:w="1531" w:type="dxa"/>
            <w:tcBorders>
              <w:top w:val="nil"/>
              <w:left w:val="nil"/>
              <w:bottom w:val="double" w:sz="2" w:space="0" w:color="auto"/>
              <w:right w:val="nil"/>
            </w:tcBorders>
            <w:shd w:val="clear" w:color="auto" w:fill="FFFFFF"/>
            <w:vAlign w:val="bottom"/>
          </w:tcPr>
          <w:p w14:paraId="504EDCE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201,667</w:t>
            </w:r>
          </w:p>
        </w:tc>
      </w:tr>
      <w:tr w:rsidR="002575C6" w14:paraId="26806DFE" w14:textId="77777777">
        <w:tblPrEx>
          <w:tblCellMar>
            <w:top w:w="0" w:type="dxa"/>
            <w:left w:w="0" w:type="dxa"/>
            <w:bottom w:w="0" w:type="dxa"/>
            <w:right w:w="0" w:type="dxa"/>
          </w:tblCellMar>
        </w:tblPrEx>
        <w:tc>
          <w:tcPr>
            <w:tcW w:w="9033" w:type="dxa"/>
            <w:gridSpan w:val="4"/>
            <w:tcBorders>
              <w:top w:val="nil"/>
              <w:left w:val="nil"/>
              <w:bottom w:val="nil"/>
              <w:right w:val="nil"/>
            </w:tcBorders>
            <w:shd w:val="clear" w:color="auto" w:fill="FFFFFF"/>
            <w:vAlign w:val="bottom"/>
          </w:tcPr>
          <w:p w14:paraId="779B93C2"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Funds of the Charity:</w:t>
            </w:r>
          </w:p>
        </w:tc>
      </w:tr>
      <w:tr w:rsidR="002575C6" w14:paraId="263C750F"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28086E22"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Restricted income funds</w:t>
            </w:r>
          </w:p>
        </w:tc>
        <w:tc>
          <w:tcPr>
            <w:tcW w:w="567" w:type="dxa"/>
            <w:tcBorders>
              <w:top w:val="nil"/>
              <w:left w:val="nil"/>
              <w:bottom w:val="nil"/>
              <w:right w:val="nil"/>
            </w:tcBorders>
            <w:shd w:val="clear" w:color="auto" w:fill="FFFFFF"/>
            <w:vAlign w:val="bottom"/>
          </w:tcPr>
          <w:p w14:paraId="6675E56B"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3EF1642"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1635BA65" w14:textId="77777777" w:rsidR="002575C6" w:rsidRDefault="002575C6">
            <w:pPr>
              <w:autoSpaceDE w:val="0"/>
              <w:autoSpaceDN w:val="0"/>
              <w:adjustRightInd w:val="0"/>
              <w:spacing w:after="0" w:line="240" w:lineRule="auto"/>
              <w:rPr>
                <w:rFonts w:ascii="Times New Roman" w:hAnsi="Times New Roman"/>
                <w:kern w:val="0"/>
              </w:rPr>
            </w:pPr>
          </w:p>
        </w:tc>
      </w:tr>
      <w:tr w:rsidR="002575C6" w14:paraId="6AFD569C"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7863750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Restricted funds</w:t>
            </w:r>
          </w:p>
        </w:tc>
        <w:tc>
          <w:tcPr>
            <w:tcW w:w="567" w:type="dxa"/>
            <w:tcBorders>
              <w:top w:val="nil"/>
              <w:left w:val="nil"/>
              <w:bottom w:val="nil"/>
              <w:right w:val="nil"/>
            </w:tcBorders>
            <w:shd w:val="clear" w:color="auto" w:fill="FFFFFF"/>
            <w:vAlign w:val="bottom"/>
          </w:tcPr>
          <w:p w14:paraId="1A8E3AD5"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D73BF6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25,668</w:t>
            </w:r>
          </w:p>
        </w:tc>
        <w:tc>
          <w:tcPr>
            <w:tcW w:w="1531" w:type="dxa"/>
            <w:tcBorders>
              <w:top w:val="nil"/>
              <w:left w:val="nil"/>
              <w:bottom w:val="nil"/>
              <w:right w:val="nil"/>
            </w:tcBorders>
            <w:shd w:val="clear" w:color="auto" w:fill="FFFFFF"/>
            <w:vAlign w:val="bottom"/>
          </w:tcPr>
          <w:p w14:paraId="3C823A2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r>
      <w:tr w:rsidR="002575C6" w14:paraId="20FAEFDC"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13F08F38"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Unrestricted income funds</w:t>
            </w:r>
          </w:p>
        </w:tc>
        <w:tc>
          <w:tcPr>
            <w:tcW w:w="567" w:type="dxa"/>
            <w:tcBorders>
              <w:top w:val="nil"/>
              <w:left w:val="nil"/>
              <w:bottom w:val="nil"/>
              <w:right w:val="nil"/>
            </w:tcBorders>
            <w:shd w:val="clear" w:color="auto" w:fill="FFFFFF"/>
            <w:vAlign w:val="bottom"/>
          </w:tcPr>
          <w:p w14:paraId="0EB3043B"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4B5F758"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3DEAF61" w14:textId="77777777" w:rsidR="002575C6" w:rsidRDefault="002575C6">
            <w:pPr>
              <w:autoSpaceDE w:val="0"/>
              <w:autoSpaceDN w:val="0"/>
              <w:adjustRightInd w:val="0"/>
              <w:spacing w:after="0" w:line="240" w:lineRule="auto"/>
              <w:rPr>
                <w:rFonts w:ascii="Times New Roman" w:hAnsi="Times New Roman"/>
                <w:kern w:val="0"/>
              </w:rPr>
            </w:pPr>
          </w:p>
        </w:tc>
      </w:tr>
      <w:tr w:rsidR="002575C6" w14:paraId="0ED8C44A"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55D099A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Unrestricted funds</w:t>
            </w:r>
          </w:p>
        </w:tc>
        <w:tc>
          <w:tcPr>
            <w:tcW w:w="567" w:type="dxa"/>
            <w:tcBorders>
              <w:top w:val="nil"/>
              <w:left w:val="nil"/>
              <w:bottom w:val="nil"/>
              <w:right w:val="nil"/>
            </w:tcBorders>
            <w:shd w:val="clear" w:color="auto" w:fill="FFFFFF"/>
            <w:vAlign w:val="bottom"/>
          </w:tcPr>
          <w:p w14:paraId="3EA431A7"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single" w:sz="2" w:space="0" w:color="auto"/>
              <w:right w:val="nil"/>
            </w:tcBorders>
            <w:shd w:val="clear" w:color="auto" w:fill="FFFFFF"/>
            <w:vAlign w:val="bottom"/>
          </w:tcPr>
          <w:p w14:paraId="3C11A92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277,071</w:t>
            </w:r>
          </w:p>
        </w:tc>
        <w:tc>
          <w:tcPr>
            <w:tcW w:w="1531" w:type="dxa"/>
            <w:tcBorders>
              <w:top w:val="nil"/>
              <w:left w:val="nil"/>
              <w:bottom w:val="single" w:sz="2" w:space="0" w:color="auto"/>
              <w:right w:val="nil"/>
            </w:tcBorders>
            <w:shd w:val="clear" w:color="auto" w:fill="FFFFFF"/>
            <w:vAlign w:val="bottom"/>
          </w:tcPr>
          <w:p w14:paraId="0C936D6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198,877</w:t>
            </w:r>
          </w:p>
        </w:tc>
      </w:tr>
      <w:tr w:rsidR="002575C6" w14:paraId="4D61599B"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2CEF0361"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Total funds</w:t>
            </w:r>
          </w:p>
        </w:tc>
        <w:tc>
          <w:tcPr>
            <w:tcW w:w="567" w:type="dxa"/>
            <w:tcBorders>
              <w:top w:val="nil"/>
              <w:left w:val="nil"/>
              <w:bottom w:val="nil"/>
              <w:right w:val="nil"/>
            </w:tcBorders>
            <w:shd w:val="clear" w:color="auto" w:fill="FFFFFF"/>
            <w:vAlign w:val="bottom"/>
          </w:tcPr>
          <w:p w14:paraId="6861786D"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20</w:t>
            </w:r>
          </w:p>
        </w:tc>
        <w:tc>
          <w:tcPr>
            <w:tcW w:w="1531" w:type="dxa"/>
            <w:tcBorders>
              <w:top w:val="nil"/>
              <w:left w:val="nil"/>
              <w:bottom w:val="double" w:sz="2" w:space="0" w:color="auto"/>
              <w:right w:val="nil"/>
            </w:tcBorders>
            <w:shd w:val="clear" w:color="auto" w:fill="FFFFFF"/>
            <w:vAlign w:val="bottom"/>
          </w:tcPr>
          <w:p w14:paraId="7E55E5C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302,739</w:t>
            </w:r>
          </w:p>
        </w:tc>
        <w:tc>
          <w:tcPr>
            <w:tcW w:w="1531" w:type="dxa"/>
            <w:tcBorders>
              <w:top w:val="nil"/>
              <w:left w:val="nil"/>
              <w:bottom w:val="double" w:sz="2" w:space="0" w:color="auto"/>
              <w:right w:val="nil"/>
            </w:tcBorders>
            <w:shd w:val="clear" w:color="auto" w:fill="FFFFFF"/>
            <w:vAlign w:val="bottom"/>
          </w:tcPr>
          <w:p w14:paraId="405D10F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201,667</w:t>
            </w:r>
          </w:p>
        </w:tc>
      </w:tr>
    </w:tbl>
    <w:p w14:paraId="2AB762C8" w14:textId="77777777" w:rsidR="002575C6" w:rsidRDefault="002575C6">
      <w:pPr>
        <w:autoSpaceDE w:val="0"/>
        <w:autoSpaceDN w:val="0"/>
        <w:adjustRightInd w:val="0"/>
        <w:spacing w:before="283" w:after="100" w:line="240" w:lineRule="auto"/>
        <w:jc w:val="both"/>
        <w:rPr>
          <w:rFonts w:ascii="Arial" w:hAnsi="Arial" w:cs="Arial"/>
          <w:kern w:val="0"/>
          <w:sz w:val="20"/>
          <w:szCs w:val="20"/>
        </w:rPr>
      </w:pPr>
      <w:r>
        <w:rPr>
          <w:rFonts w:ascii="Arial" w:hAnsi="Arial" w:cs="Arial"/>
          <w:kern w:val="0"/>
          <w:sz w:val="20"/>
          <w:szCs w:val="20"/>
        </w:rPr>
        <w:t>The financial statements on pages 23 to 38 were approved by the Trustees, and authorised for issue on 23 September 2025 and signed on their behalf by:</w:t>
      </w:r>
    </w:p>
    <w:p w14:paraId="58555378" w14:textId="34B269EF" w:rsidR="00571AC5" w:rsidRDefault="00763C25">
      <w:pPr>
        <w:autoSpaceDE w:val="0"/>
        <w:autoSpaceDN w:val="0"/>
        <w:adjustRightInd w:val="0"/>
        <w:spacing w:before="283" w:after="100" w:line="240" w:lineRule="auto"/>
        <w:jc w:val="both"/>
        <w:rPr>
          <w:rFonts w:ascii="Times New Roman" w:hAnsi="Times New Roman"/>
          <w:kern w:val="0"/>
        </w:rPr>
      </w:pPr>
      <w:r w:rsidRPr="007C26CD">
        <w:rPr>
          <w:noProof/>
        </w:rPr>
        <w:drawing>
          <wp:inline distT="0" distB="0" distL="0" distR="0" wp14:anchorId="3561BC36" wp14:editId="566325EA">
            <wp:extent cx="1569720" cy="8153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69720" cy="81534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9033"/>
      </w:tblGrid>
      <w:tr w:rsidR="002575C6" w14:paraId="4FE3581B" w14:textId="77777777" w:rsidTr="00571AC5">
        <w:tblPrEx>
          <w:tblCellMar>
            <w:top w:w="0" w:type="dxa"/>
            <w:left w:w="0" w:type="dxa"/>
            <w:bottom w:w="0" w:type="dxa"/>
            <w:right w:w="0" w:type="dxa"/>
          </w:tblCellMar>
        </w:tblPrEx>
        <w:trPr>
          <w:trHeight w:val="351"/>
        </w:trPr>
        <w:tc>
          <w:tcPr>
            <w:tcW w:w="9033" w:type="dxa"/>
            <w:tcBorders>
              <w:top w:val="nil"/>
              <w:left w:val="nil"/>
              <w:bottom w:val="nil"/>
              <w:right w:val="nil"/>
            </w:tcBorders>
            <w:shd w:val="clear" w:color="auto" w:fill="FFFFFF"/>
            <w:vAlign w:val="center"/>
          </w:tcPr>
          <w:p w14:paraId="5C700101" w14:textId="77777777" w:rsidR="002575C6" w:rsidRDefault="002575C6">
            <w:pPr>
              <w:autoSpaceDE w:val="0"/>
              <w:autoSpaceDN w:val="0"/>
              <w:adjustRightInd w:val="0"/>
              <w:spacing w:before="567" w:after="0" w:line="240" w:lineRule="auto"/>
              <w:jc w:val="both"/>
              <w:rPr>
                <w:rFonts w:ascii="Times New Roman" w:hAnsi="Times New Roman"/>
                <w:kern w:val="0"/>
              </w:rPr>
            </w:pPr>
          </w:p>
        </w:tc>
      </w:tr>
    </w:tbl>
    <w:p w14:paraId="5FB7EE5B"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3"/>
          <w:pgSz w:w="11909" w:h="16834"/>
          <w:pgMar w:top="1440" w:right="1440" w:bottom="1440" w:left="1440" w:header="720" w:footer="720" w:gutter="0"/>
          <w:cols w:space="720"/>
          <w:noEndnote/>
        </w:sectPr>
      </w:pPr>
    </w:p>
    <w:p w14:paraId="2E3FFE23"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68055FD3"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5F4257D2"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313A1D0F"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w:t>
            </w:r>
          </w:p>
        </w:tc>
        <w:tc>
          <w:tcPr>
            <w:tcW w:w="8750" w:type="dxa"/>
            <w:tcBorders>
              <w:top w:val="nil"/>
              <w:left w:val="nil"/>
              <w:bottom w:val="nil"/>
              <w:right w:val="nil"/>
            </w:tcBorders>
            <w:shd w:val="clear" w:color="auto" w:fill="FFFFFF"/>
            <w:vAlign w:val="center"/>
          </w:tcPr>
          <w:p w14:paraId="1D79A882"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Accounting policies</w:t>
            </w:r>
          </w:p>
        </w:tc>
      </w:tr>
    </w:tbl>
    <w:p w14:paraId="0F2FEFE7"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Statement of compliance</w:t>
      </w:r>
    </w:p>
    <w:p w14:paraId="3D1337E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financial statements have been prepared in accordance with the second edition of the Charities Statement of Recommended Practice issued in October 2019, the Financial Reporting Standard applicable in the United Kingdom and Republic of Ireland (FRS 102) and the Charities Act 2011.</w:t>
      </w:r>
    </w:p>
    <w:p w14:paraId="255366BE"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Basis of preparation</w:t>
      </w:r>
    </w:p>
    <w:p w14:paraId="0B993CC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Bardet-Biedl Syndrome UK meets the definition of a public benefit entity under FRS 102. The accounts (financial statements) have been prepared under the historical cost convention with items recognised at cost or transaction value unless otherwise stated in the relevant note(s) to these accounts. The financial statements have been prepared in sterling which is the functional currency of the charity. </w:t>
      </w:r>
    </w:p>
    <w:p w14:paraId="10BC4E4C"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Going concern</w:t>
      </w:r>
    </w:p>
    <w:p w14:paraId="2314641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Trustees consider that there are no material uncertainties about the Charity's ability to continue as a going concern.</w:t>
      </w:r>
    </w:p>
    <w:p w14:paraId="6050C62E"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Income and endowments</w:t>
      </w:r>
    </w:p>
    <w:p w14:paraId="15CFCE4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Voluntary income including donations, gifts, legacies and grants that provide core funding or are of a general nature is recognised when the Charity has entitlement to the income, it is probable that the income will be received and the amount can be measured with sufficient reliability.</w:t>
      </w:r>
    </w:p>
    <w:p w14:paraId="6028F4B2" w14:textId="77777777" w:rsidR="002575C6" w:rsidRDefault="002575C6">
      <w:pPr>
        <w:autoSpaceDE w:val="0"/>
        <w:autoSpaceDN w:val="0"/>
        <w:adjustRightInd w:val="0"/>
        <w:spacing w:before="113" w:after="113" w:line="240" w:lineRule="auto"/>
        <w:jc w:val="both"/>
        <w:rPr>
          <w:rFonts w:ascii="Times New Roman" w:hAnsi="Times New Roman"/>
          <w:kern w:val="0"/>
        </w:rPr>
      </w:pPr>
      <w:r>
        <w:rPr>
          <w:rFonts w:ascii="Arial" w:hAnsi="Arial" w:cs="Arial"/>
          <w:b/>
          <w:bCs/>
          <w:i/>
          <w:iCs/>
          <w:kern w:val="0"/>
          <w:sz w:val="20"/>
          <w:szCs w:val="20"/>
        </w:rPr>
        <w:t>Donations and legacies</w:t>
      </w:r>
    </w:p>
    <w:p w14:paraId="1E40436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Donations and legacies are recognised on a receivable basis when receipt is probable and the amount can be reliably measured.</w:t>
      </w:r>
    </w:p>
    <w:p w14:paraId="2265BD9A" w14:textId="77777777" w:rsidR="002575C6" w:rsidRDefault="002575C6">
      <w:pPr>
        <w:autoSpaceDE w:val="0"/>
        <w:autoSpaceDN w:val="0"/>
        <w:adjustRightInd w:val="0"/>
        <w:spacing w:before="113" w:after="113" w:line="240" w:lineRule="auto"/>
        <w:jc w:val="both"/>
        <w:rPr>
          <w:rFonts w:ascii="Times New Roman" w:hAnsi="Times New Roman"/>
          <w:kern w:val="0"/>
        </w:rPr>
      </w:pPr>
      <w:r>
        <w:rPr>
          <w:rFonts w:ascii="Arial" w:hAnsi="Arial" w:cs="Arial"/>
          <w:b/>
          <w:bCs/>
          <w:i/>
          <w:iCs/>
          <w:kern w:val="0"/>
          <w:sz w:val="20"/>
          <w:szCs w:val="20"/>
        </w:rPr>
        <w:t>Grants receivable</w:t>
      </w:r>
    </w:p>
    <w:p w14:paraId="34277CD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Grants are recognised when the Charity has an entitlement to the funds and any conditions linked to the grants have been met. Where performance conditions are attached to the grant and are yet to be met, the income is recognised as a liability and included on the balance sheet as deferred income to be released.</w:t>
      </w:r>
    </w:p>
    <w:p w14:paraId="69EDDB70"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Expenditure</w:t>
      </w:r>
    </w:p>
    <w:p w14:paraId="6508378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All expenditure is recognised once there is a legal or constructive obligation to that expenditure, it is probable settlement is required and the amount can be measured reliably. All costs are allocated to the applicable expenditure heading that aggregate similar costs to that category. Where costs cannot be directly attributed to particular headings they have been allocated on a basis consistent with the use of resources, with central staff costs allocated on the basis of time spent, and depreciation charges allocated on the portion of the asset’s use. Other support costs are allocated based on the spread of staff costs.</w:t>
      </w:r>
    </w:p>
    <w:p w14:paraId="0746CF5F" w14:textId="77777777" w:rsidR="002575C6" w:rsidRDefault="002575C6">
      <w:pPr>
        <w:autoSpaceDE w:val="0"/>
        <w:autoSpaceDN w:val="0"/>
        <w:adjustRightInd w:val="0"/>
        <w:spacing w:before="113" w:after="113" w:line="240" w:lineRule="auto"/>
        <w:jc w:val="both"/>
        <w:rPr>
          <w:rFonts w:ascii="Times New Roman" w:hAnsi="Times New Roman"/>
          <w:kern w:val="0"/>
        </w:rPr>
      </w:pPr>
      <w:r>
        <w:rPr>
          <w:rFonts w:ascii="Arial" w:hAnsi="Arial" w:cs="Arial"/>
          <w:b/>
          <w:bCs/>
          <w:i/>
          <w:iCs/>
          <w:kern w:val="0"/>
          <w:sz w:val="20"/>
          <w:szCs w:val="20"/>
        </w:rPr>
        <w:t>Raising funds</w:t>
      </w:r>
    </w:p>
    <w:p w14:paraId="428E322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These are costs incurred in attracting voluntary income, the management of investments and those incurred in trading activities that raise funds.</w:t>
      </w:r>
    </w:p>
    <w:p w14:paraId="6425BB75"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4"/>
          <w:pgSz w:w="11909" w:h="16834"/>
          <w:pgMar w:top="1440" w:right="1440" w:bottom="1440" w:left="1440" w:header="720" w:footer="720" w:gutter="0"/>
          <w:cols w:space="720"/>
          <w:noEndnote/>
        </w:sectPr>
      </w:pPr>
    </w:p>
    <w:p w14:paraId="16955C6F"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7B07DB7F"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p w14:paraId="777C9AC8" w14:textId="77777777" w:rsidR="002575C6" w:rsidRDefault="002575C6">
      <w:pPr>
        <w:autoSpaceDE w:val="0"/>
        <w:autoSpaceDN w:val="0"/>
        <w:adjustRightInd w:val="0"/>
        <w:spacing w:before="113" w:after="113" w:line="240" w:lineRule="auto"/>
        <w:jc w:val="both"/>
        <w:rPr>
          <w:rFonts w:ascii="Times New Roman" w:hAnsi="Times New Roman"/>
          <w:kern w:val="0"/>
        </w:rPr>
      </w:pPr>
      <w:r>
        <w:rPr>
          <w:rFonts w:ascii="Arial" w:hAnsi="Arial" w:cs="Arial"/>
          <w:b/>
          <w:bCs/>
          <w:i/>
          <w:iCs/>
          <w:kern w:val="0"/>
          <w:sz w:val="20"/>
          <w:szCs w:val="20"/>
        </w:rPr>
        <w:t>Charitable activities</w:t>
      </w:r>
    </w:p>
    <w:p w14:paraId="024AF06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Charitable expenditure comprises those costs incurred by the Charity in the delivery of its activities and services for its beneficiaries. It includes both costs that can be allocated directly to such activities and those costs of an indirect nature necessary to support them.</w:t>
      </w:r>
    </w:p>
    <w:p w14:paraId="0FF5821A"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Support costs</w:t>
      </w:r>
    </w:p>
    <w:p w14:paraId="588CDB6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Support costs include central functions and have been allocated to activity cost categories on a basis consistent with the use of resources, for example, allocating property costs by floor areas, or per capita, staff costs by the time spent and other costs by their usage.</w:t>
      </w:r>
    </w:p>
    <w:p w14:paraId="2EC961CC"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Taxation</w:t>
      </w:r>
    </w:p>
    <w:p w14:paraId="7EB99A1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Charity is considered to pass the tests set out in Paragraph 1 Schedule 6 of the Finance Act 2010 and therefore it meets the definition of a charitable company for UK corporation tax purposes. Accordingly, the Charity is potentially exempt from taxation in respect of income or capital gains received within categories covered by Chapter 3 Part 11 of the Corporation Tax Act 2010 or Section 256 of the Taxation of Chargeable Gains Act 1992, to the extent that such income or gains are applied exclusively to charitable purposes.</w:t>
      </w:r>
    </w:p>
    <w:p w14:paraId="315A1D8F"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Tangible fixed assets</w:t>
      </w:r>
    </w:p>
    <w:p w14:paraId="692CB45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Individual fixed assets are initially recorded at cost, less any subsequent accumulated depreciation and subsequent accumulated impairment losses.</w:t>
      </w:r>
    </w:p>
    <w:p w14:paraId="730E5832"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Depreciation and amortisation</w:t>
      </w:r>
    </w:p>
    <w:p w14:paraId="085A6F0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Depreciation is provided on tangible fixed assets so as to write off the cost or valuation, less any estimated residual value, over their expected useful economic life as follows:</w:t>
      </w:r>
    </w:p>
    <w:tbl>
      <w:tblPr>
        <w:tblW w:w="0" w:type="auto"/>
        <w:tblLayout w:type="fixed"/>
        <w:tblCellMar>
          <w:left w:w="0" w:type="dxa"/>
          <w:right w:w="0" w:type="dxa"/>
        </w:tblCellMar>
        <w:tblLook w:val="0000" w:firstRow="0" w:lastRow="0" w:firstColumn="0" w:lastColumn="0" w:noHBand="0" w:noVBand="0"/>
      </w:tblPr>
      <w:tblGrid>
        <w:gridCol w:w="5630"/>
        <w:gridCol w:w="3403"/>
      </w:tblGrid>
      <w:tr w:rsidR="002575C6" w14:paraId="4EF4B174" w14:textId="77777777">
        <w:tblPrEx>
          <w:tblCellMar>
            <w:top w:w="0" w:type="dxa"/>
            <w:left w:w="0" w:type="dxa"/>
            <w:bottom w:w="0" w:type="dxa"/>
            <w:right w:w="0" w:type="dxa"/>
          </w:tblCellMar>
        </w:tblPrEx>
        <w:tc>
          <w:tcPr>
            <w:tcW w:w="5630" w:type="dxa"/>
            <w:tcBorders>
              <w:top w:val="nil"/>
              <w:left w:val="nil"/>
              <w:bottom w:val="nil"/>
              <w:right w:val="nil"/>
            </w:tcBorders>
            <w:shd w:val="clear" w:color="auto" w:fill="FFFFFF"/>
            <w:vAlign w:val="bottom"/>
          </w:tcPr>
          <w:p w14:paraId="10621293" w14:textId="77777777" w:rsidR="002575C6" w:rsidRDefault="002575C6">
            <w:pPr>
              <w:autoSpaceDE w:val="0"/>
              <w:autoSpaceDN w:val="0"/>
              <w:adjustRightInd w:val="0"/>
              <w:spacing w:before="113" w:after="0" w:line="240" w:lineRule="auto"/>
              <w:rPr>
                <w:rFonts w:ascii="Times New Roman" w:hAnsi="Times New Roman"/>
                <w:kern w:val="0"/>
              </w:rPr>
            </w:pPr>
            <w:r>
              <w:rPr>
                <w:rFonts w:ascii="Arial" w:hAnsi="Arial" w:cs="Arial"/>
                <w:b/>
                <w:bCs/>
                <w:kern w:val="0"/>
                <w:sz w:val="20"/>
                <w:szCs w:val="20"/>
              </w:rPr>
              <w:t>Asset class</w:t>
            </w:r>
          </w:p>
        </w:tc>
        <w:tc>
          <w:tcPr>
            <w:tcW w:w="3403" w:type="dxa"/>
            <w:tcBorders>
              <w:top w:val="nil"/>
              <w:left w:val="nil"/>
              <w:bottom w:val="nil"/>
              <w:right w:val="nil"/>
            </w:tcBorders>
            <w:shd w:val="clear" w:color="auto" w:fill="FFFFFF"/>
            <w:vAlign w:val="bottom"/>
          </w:tcPr>
          <w:p w14:paraId="1D6F3944" w14:textId="77777777" w:rsidR="002575C6" w:rsidRDefault="002575C6">
            <w:pPr>
              <w:autoSpaceDE w:val="0"/>
              <w:autoSpaceDN w:val="0"/>
              <w:adjustRightInd w:val="0"/>
              <w:spacing w:before="113" w:after="0" w:line="240" w:lineRule="auto"/>
              <w:rPr>
                <w:rFonts w:ascii="Times New Roman" w:hAnsi="Times New Roman"/>
                <w:kern w:val="0"/>
              </w:rPr>
            </w:pPr>
            <w:r>
              <w:rPr>
                <w:rFonts w:ascii="Arial" w:hAnsi="Arial" w:cs="Arial"/>
                <w:b/>
                <w:bCs/>
                <w:kern w:val="0"/>
                <w:sz w:val="20"/>
                <w:szCs w:val="20"/>
              </w:rPr>
              <w:t>Depreciation method and rate</w:t>
            </w:r>
          </w:p>
        </w:tc>
      </w:tr>
      <w:tr w:rsidR="002575C6" w14:paraId="0E1FAB33" w14:textId="77777777">
        <w:tblPrEx>
          <w:tblCellMar>
            <w:top w:w="0" w:type="dxa"/>
            <w:left w:w="0" w:type="dxa"/>
            <w:bottom w:w="0" w:type="dxa"/>
            <w:right w:w="0" w:type="dxa"/>
          </w:tblCellMar>
        </w:tblPrEx>
        <w:tc>
          <w:tcPr>
            <w:tcW w:w="5630" w:type="dxa"/>
            <w:tcBorders>
              <w:top w:val="nil"/>
              <w:left w:val="nil"/>
              <w:bottom w:val="nil"/>
              <w:right w:val="nil"/>
            </w:tcBorders>
            <w:shd w:val="clear" w:color="auto" w:fill="FFFFFF"/>
            <w:vAlign w:val="center"/>
          </w:tcPr>
          <w:p w14:paraId="1C48A17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Fixtures, fittings and equipment</w:t>
            </w:r>
          </w:p>
        </w:tc>
        <w:tc>
          <w:tcPr>
            <w:tcW w:w="3403" w:type="dxa"/>
            <w:tcBorders>
              <w:top w:val="nil"/>
              <w:left w:val="nil"/>
              <w:bottom w:val="nil"/>
              <w:right w:val="nil"/>
            </w:tcBorders>
            <w:shd w:val="clear" w:color="auto" w:fill="FFFFFF"/>
            <w:vAlign w:val="center"/>
          </w:tcPr>
          <w:p w14:paraId="2967CC91"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 xml:space="preserve">33.3% Straight line </w:t>
            </w:r>
          </w:p>
        </w:tc>
      </w:tr>
    </w:tbl>
    <w:p w14:paraId="6FF772CE"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Cash and cash equivalents</w:t>
      </w:r>
    </w:p>
    <w:p w14:paraId="02FC3A4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Cash and cash equivalents comprise cash on hand and call deposits, and other short-term highly liquid investments that are readily convertible to a known amount of cash and are subject to an insignificant risk of change in value.</w:t>
      </w:r>
    </w:p>
    <w:p w14:paraId="21548FEF"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Fund structure</w:t>
      </w:r>
    </w:p>
    <w:p w14:paraId="44228B0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Unrestricted income funds are general funds that are available for use at the Trustees discretion in furtherance of the objectives of the Charity.</w:t>
      </w:r>
    </w:p>
    <w:p w14:paraId="7C3BABA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Restricted income funds are those donated for use in a particular area or for specific purposes, the use of which is restricted to that area or purpose.</w:t>
      </w:r>
    </w:p>
    <w:p w14:paraId="183452E0"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5"/>
          <w:pgSz w:w="11909" w:h="16834"/>
          <w:pgMar w:top="1440" w:right="1440" w:bottom="1440" w:left="1440" w:header="720" w:footer="720" w:gutter="0"/>
          <w:cols w:space="720"/>
          <w:noEndnote/>
        </w:sectPr>
      </w:pPr>
    </w:p>
    <w:p w14:paraId="2A5C19F1"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2A5BFFBB"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p w14:paraId="266E5FDC"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Pensions and other post retirement obligations</w:t>
      </w:r>
    </w:p>
    <w:p w14:paraId="736033D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The Charity operates a defined contribution pension scheme which is a pension plan under which fixed contributions are paid into a pension fund and the Charity has no legal or constructive obligation to pay further contributions even if the fund does not hold sufficient assets to pay all employees the benefits relating to employee service in the current and prior periods. </w:t>
      </w:r>
      <w:r>
        <w:rPr>
          <w:rFonts w:ascii="Arial" w:hAnsi="Arial" w:cs="Arial"/>
          <w:kern w:val="0"/>
          <w:sz w:val="20"/>
          <w:szCs w:val="20"/>
        </w:rPr>
        <w:br/>
      </w:r>
      <w:r>
        <w:rPr>
          <w:rFonts w:ascii="Arial" w:hAnsi="Arial" w:cs="Arial"/>
          <w:kern w:val="0"/>
          <w:sz w:val="20"/>
          <w:szCs w:val="20"/>
        </w:rPr>
        <w:br/>
        <w:t>Contributions to defined contribution plans are recognised in the Statement of Financial Activities when they are due. If contribution payments exceed the contribution due for service, the excess is recognised as a prepayment.</w:t>
      </w:r>
    </w:p>
    <w:p w14:paraId="4CB2A749"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Financial instruments</w:t>
      </w:r>
    </w:p>
    <w:p w14:paraId="7CC87B0D" w14:textId="77777777" w:rsidR="002575C6" w:rsidRDefault="002575C6">
      <w:pPr>
        <w:autoSpaceDE w:val="0"/>
        <w:autoSpaceDN w:val="0"/>
        <w:adjustRightInd w:val="0"/>
        <w:spacing w:before="113" w:after="113" w:line="240" w:lineRule="auto"/>
        <w:jc w:val="both"/>
        <w:rPr>
          <w:rFonts w:ascii="Times New Roman" w:hAnsi="Times New Roman"/>
          <w:kern w:val="0"/>
        </w:rPr>
      </w:pPr>
      <w:r>
        <w:rPr>
          <w:rFonts w:ascii="Arial" w:hAnsi="Arial" w:cs="Arial"/>
          <w:b/>
          <w:bCs/>
          <w:i/>
          <w:iCs/>
          <w:kern w:val="0"/>
          <w:sz w:val="20"/>
          <w:szCs w:val="20"/>
        </w:rPr>
        <w:t>Classification</w:t>
      </w:r>
    </w:p>
    <w:p w14:paraId="3225924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Financial assets and financial liabilities are recognised when the Charity becomes a party to the contractual provisions of the instrument. </w:t>
      </w:r>
      <w:r>
        <w:rPr>
          <w:rFonts w:ascii="Arial" w:hAnsi="Arial" w:cs="Arial"/>
          <w:kern w:val="0"/>
          <w:sz w:val="20"/>
          <w:szCs w:val="20"/>
        </w:rPr>
        <w:br/>
        <w:t>Financial liabilities and equity instruments are classified according to the substance of the contractual arrangements entered into. An equity instrument is any contract that evidences a residual interest in the assets of the Charity after deducting all of its liabilities.</w:t>
      </w:r>
    </w:p>
    <w:p w14:paraId="66690DF2" w14:textId="77777777" w:rsidR="002575C6" w:rsidRDefault="002575C6">
      <w:pPr>
        <w:autoSpaceDE w:val="0"/>
        <w:autoSpaceDN w:val="0"/>
        <w:adjustRightInd w:val="0"/>
        <w:spacing w:before="113" w:after="113" w:line="240" w:lineRule="auto"/>
        <w:jc w:val="both"/>
        <w:rPr>
          <w:rFonts w:ascii="Times New Roman" w:hAnsi="Times New Roman"/>
          <w:kern w:val="0"/>
        </w:rPr>
      </w:pPr>
      <w:r>
        <w:rPr>
          <w:rFonts w:ascii="Arial" w:hAnsi="Arial" w:cs="Arial"/>
          <w:b/>
          <w:bCs/>
          <w:i/>
          <w:iCs/>
          <w:kern w:val="0"/>
          <w:sz w:val="20"/>
          <w:szCs w:val="20"/>
        </w:rPr>
        <w:t>Recognition and measurement</w:t>
      </w:r>
    </w:p>
    <w:p w14:paraId="6748F58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All financial assets and liabilities are initially measured at transaction price (including transaction costs), except for those financial assets classified as at fair value through profit or loss, which are initially measured at fair value (which is normally the transaction price excluding transaction costs), unless the arrangement constitutes a financing transaction. If an arrangement constitutes a financing transaction, the financial asset or financial liability is measured at the present value of the future payments discounted at a market rate of interest for a similar debt instrument. </w:t>
      </w:r>
      <w:r>
        <w:rPr>
          <w:rFonts w:ascii="Arial" w:hAnsi="Arial" w:cs="Arial"/>
          <w:kern w:val="0"/>
          <w:sz w:val="20"/>
          <w:szCs w:val="20"/>
        </w:rPr>
        <w:br/>
      </w:r>
      <w:r>
        <w:rPr>
          <w:rFonts w:ascii="Arial" w:hAnsi="Arial" w:cs="Arial"/>
          <w:kern w:val="0"/>
          <w:sz w:val="20"/>
          <w:szCs w:val="20"/>
        </w:rPr>
        <w:br/>
        <w:t xml:space="preserve">Financial assets and liabilities are only offset in the statement of ﬁnancial position when, and only when there exists a legally enforceable right to set off the recognised amounts and the Charity intends either to settle on a net basis, or to realise the asset and settle the liability simultaneously. </w:t>
      </w:r>
      <w:r>
        <w:rPr>
          <w:rFonts w:ascii="Arial" w:hAnsi="Arial" w:cs="Arial"/>
          <w:kern w:val="0"/>
          <w:sz w:val="20"/>
          <w:szCs w:val="20"/>
        </w:rPr>
        <w:br/>
      </w:r>
      <w:r>
        <w:rPr>
          <w:rFonts w:ascii="Arial" w:hAnsi="Arial" w:cs="Arial"/>
          <w:kern w:val="0"/>
          <w:sz w:val="20"/>
          <w:szCs w:val="20"/>
        </w:rPr>
        <w:br/>
        <w:t xml:space="preserve">Financial assets are derecognised when and only when a) the contractual rights to the cash flows from the financial asset expire or are settled, b) the Charity transfers to another party substantially all of the risks and rewards of ownership of the financial asset, or c) the Charity, despite having retained some, but not all, significant risks and rewards of ownership, has transferred control of the asset to another party. </w:t>
      </w:r>
      <w:r>
        <w:rPr>
          <w:rFonts w:ascii="Arial" w:hAnsi="Arial" w:cs="Arial"/>
          <w:kern w:val="0"/>
          <w:sz w:val="20"/>
          <w:szCs w:val="20"/>
        </w:rPr>
        <w:br/>
      </w:r>
      <w:r>
        <w:rPr>
          <w:rFonts w:ascii="Arial" w:hAnsi="Arial" w:cs="Arial"/>
          <w:kern w:val="0"/>
          <w:sz w:val="20"/>
          <w:szCs w:val="20"/>
        </w:rPr>
        <w:br/>
        <w:t>Financial liabilities are derecognised only when the obligation specified in the contract is discharged, cancelled or expires.</w:t>
      </w:r>
    </w:p>
    <w:p w14:paraId="7500E6A1" w14:textId="77777777" w:rsidR="002575C6" w:rsidRDefault="002575C6">
      <w:pPr>
        <w:widowControl w:val="0"/>
        <w:autoSpaceDE w:val="0"/>
        <w:autoSpaceDN w:val="0"/>
        <w:adjustRightInd w:val="0"/>
        <w:spacing w:after="0" w:line="240" w:lineRule="auto"/>
        <w:jc w:val="distribute"/>
        <w:rPr>
          <w:rFonts w:ascii="Times New Roman" w:hAnsi="Times New Roman"/>
          <w:kern w:val="0"/>
        </w:rPr>
        <w:sectPr w:rsidR="002575C6">
          <w:footerReference w:type="default" r:id="rId36"/>
          <w:pgSz w:w="11909" w:h="16834"/>
          <w:pgMar w:top="1440" w:right="1440" w:bottom="1440" w:left="1440" w:header="720" w:footer="720" w:gutter="0"/>
          <w:cols w:space="720"/>
          <w:noEndnote/>
        </w:sectPr>
      </w:pPr>
    </w:p>
    <w:p w14:paraId="3E9CA879"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1AF7F8B6"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4155"/>
        <w:gridCol w:w="1531"/>
        <w:gridCol w:w="1531"/>
        <w:gridCol w:w="1533"/>
      </w:tblGrid>
      <w:tr w:rsidR="002575C6" w14:paraId="69025093"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360D0DEC"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2</w:t>
            </w:r>
          </w:p>
        </w:tc>
        <w:tc>
          <w:tcPr>
            <w:tcW w:w="8750" w:type="dxa"/>
            <w:gridSpan w:val="4"/>
            <w:tcBorders>
              <w:top w:val="nil"/>
              <w:left w:val="nil"/>
              <w:bottom w:val="nil"/>
              <w:right w:val="nil"/>
            </w:tcBorders>
            <w:shd w:val="clear" w:color="auto" w:fill="FFFFFF"/>
            <w:vAlign w:val="center"/>
          </w:tcPr>
          <w:p w14:paraId="2DDBEC3B"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Income from donations and legacies</w:t>
            </w:r>
          </w:p>
        </w:tc>
      </w:tr>
      <w:tr w:rsidR="002575C6" w14:paraId="17734D84" w14:textId="77777777">
        <w:tblPrEx>
          <w:tblCellMar>
            <w:top w:w="0" w:type="dxa"/>
            <w:left w:w="0" w:type="dxa"/>
            <w:bottom w:w="0" w:type="dxa"/>
            <w:right w:w="0" w:type="dxa"/>
          </w:tblCellMar>
        </w:tblPrEx>
        <w:tc>
          <w:tcPr>
            <w:tcW w:w="4439" w:type="dxa"/>
            <w:gridSpan w:val="2"/>
            <w:tcBorders>
              <w:top w:val="nil"/>
              <w:left w:val="nil"/>
              <w:bottom w:val="nil"/>
              <w:right w:val="nil"/>
            </w:tcBorders>
            <w:shd w:val="clear" w:color="auto" w:fill="FFFFFF"/>
            <w:vAlign w:val="bottom"/>
          </w:tcPr>
          <w:p w14:paraId="18D9F9A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7D4A9AB5"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321E104F"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Restricted</w:t>
            </w:r>
          </w:p>
        </w:tc>
        <w:tc>
          <w:tcPr>
            <w:tcW w:w="1531" w:type="dxa"/>
            <w:tcBorders>
              <w:top w:val="nil"/>
              <w:left w:val="nil"/>
              <w:bottom w:val="nil"/>
              <w:right w:val="nil"/>
            </w:tcBorders>
            <w:shd w:val="clear" w:color="auto" w:fill="FFFFFF"/>
            <w:vAlign w:val="bottom"/>
          </w:tcPr>
          <w:p w14:paraId="46647899"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7D2E2559" w14:textId="77777777">
        <w:tblPrEx>
          <w:tblCellMar>
            <w:top w:w="0" w:type="dxa"/>
            <w:left w:w="0" w:type="dxa"/>
            <w:bottom w:w="0" w:type="dxa"/>
            <w:right w:w="0" w:type="dxa"/>
          </w:tblCellMar>
        </w:tblPrEx>
        <w:tc>
          <w:tcPr>
            <w:tcW w:w="4439" w:type="dxa"/>
            <w:gridSpan w:val="2"/>
            <w:tcBorders>
              <w:top w:val="nil"/>
              <w:left w:val="nil"/>
              <w:bottom w:val="nil"/>
              <w:right w:val="nil"/>
            </w:tcBorders>
            <w:shd w:val="clear" w:color="auto" w:fill="FFFFFF"/>
            <w:vAlign w:val="bottom"/>
          </w:tcPr>
          <w:p w14:paraId="3D7182D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46B458C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0FBF9840"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funds</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44098A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3697E3F6" w14:textId="77777777">
        <w:tblPrEx>
          <w:tblCellMar>
            <w:top w:w="0" w:type="dxa"/>
            <w:left w:w="0" w:type="dxa"/>
            <w:bottom w:w="0" w:type="dxa"/>
            <w:right w:w="0" w:type="dxa"/>
          </w:tblCellMar>
        </w:tblPrEx>
        <w:tc>
          <w:tcPr>
            <w:tcW w:w="4439" w:type="dxa"/>
            <w:gridSpan w:val="2"/>
            <w:tcBorders>
              <w:top w:val="nil"/>
              <w:left w:val="nil"/>
              <w:bottom w:val="nil"/>
              <w:right w:val="nil"/>
            </w:tcBorders>
            <w:shd w:val="clear" w:color="auto" w:fill="FFFFFF"/>
            <w:vAlign w:val="bottom"/>
          </w:tcPr>
          <w:p w14:paraId="6E5BB4E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Donations and Gifts</w:t>
            </w:r>
          </w:p>
        </w:tc>
        <w:tc>
          <w:tcPr>
            <w:tcW w:w="1531" w:type="dxa"/>
            <w:tcBorders>
              <w:top w:val="nil"/>
              <w:left w:val="nil"/>
              <w:bottom w:val="nil"/>
              <w:right w:val="nil"/>
            </w:tcBorders>
            <w:shd w:val="clear" w:color="auto" w:fill="FFFFFF"/>
            <w:vAlign w:val="bottom"/>
          </w:tcPr>
          <w:p w14:paraId="4F36E4C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24,372</w:t>
            </w:r>
          </w:p>
        </w:tc>
        <w:tc>
          <w:tcPr>
            <w:tcW w:w="1531" w:type="dxa"/>
            <w:tcBorders>
              <w:top w:val="nil"/>
              <w:left w:val="nil"/>
              <w:bottom w:val="nil"/>
              <w:right w:val="nil"/>
            </w:tcBorders>
            <w:shd w:val="clear" w:color="auto" w:fill="FFFFFF"/>
            <w:vAlign w:val="bottom"/>
          </w:tcPr>
          <w:p w14:paraId="07F41D7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3B1BDA7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24,372</w:t>
            </w:r>
          </w:p>
        </w:tc>
      </w:tr>
      <w:tr w:rsidR="002575C6" w14:paraId="53511A9A" w14:textId="77777777">
        <w:tblPrEx>
          <w:tblCellMar>
            <w:top w:w="0" w:type="dxa"/>
            <w:left w:w="0" w:type="dxa"/>
            <w:bottom w:w="0" w:type="dxa"/>
            <w:right w:w="0" w:type="dxa"/>
          </w:tblCellMar>
        </w:tblPrEx>
        <w:tc>
          <w:tcPr>
            <w:tcW w:w="4439" w:type="dxa"/>
            <w:gridSpan w:val="2"/>
            <w:tcBorders>
              <w:top w:val="nil"/>
              <w:left w:val="nil"/>
              <w:bottom w:val="nil"/>
              <w:right w:val="nil"/>
            </w:tcBorders>
            <w:shd w:val="clear" w:color="auto" w:fill="FFFFFF"/>
            <w:vAlign w:val="bottom"/>
          </w:tcPr>
          <w:p w14:paraId="7C113612"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Legacies</w:t>
            </w:r>
          </w:p>
        </w:tc>
        <w:tc>
          <w:tcPr>
            <w:tcW w:w="1531" w:type="dxa"/>
            <w:tcBorders>
              <w:top w:val="nil"/>
              <w:left w:val="nil"/>
              <w:bottom w:val="nil"/>
              <w:right w:val="nil"/>
            </w:tcBorders>
            <w:shd w:val="clear" w:color="auto" w:fill="FFFFFF"/>
            <w:vAlign w:val="bottom"/>
          </w:tcPr>
          <w:p w14:paraId="3B544B5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97,052</w:t>
            </w:r>
          </w:p>
        </w:tc>
        <w:tc>
          <w:tcPr>
            <w:tcW w:w="1531" w:type="dxa"/>
            <w:tcBorders>
              <w:top w:val="nil"/>
              <w:left w:val="nil"/>
              <w:bottom w:val="nil"/>
              <w:right w:val="nil"/>
            </w:tcBorders>
            <w:shd w:val="clear" w:color="auto" w:fill="FFFFFF"/>
            <w:vAlign w:val="bottom"/>
          </w:tcPr>
          <w:p w14:paraId="2BDB641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1A9B4FC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97,052</w:t>
            </w:r>
          </w:p>
        </w:tc>
      </w:tr>
      <w:tr w:rsidR="002575C6" w14:paraId="6734A736" w14:textId="77777777">
        <w:tblPrEx>
          <w:tblCellMar>
            <w:top w:w="0" w:type="dxa"/>
            <w:left w:w="0" w:type="dxa"/>
            <w:bottom w:w="0" w:type="dxa"/>
            <w:right w:w="0" w:type="dxa"/>
          </w:tblCellMar>
        </w:tblPrEx>
        <w:tc>
          <w:tcPr>
            <w:tcW w:w="4439" w:type="dxa"/>
            <w:gridSpan w:val="2"/>
            <w:tcBorders>
              <w:top w:val="nil"/>
              <w:left w:val="nil"/>
              <w:bottom w:val="nil"/>
              <w:right w:val="nil"/>
            </w:tcBorders>
            <w:shd w:val="clear" w:color="auto" w:fill="FFFFFF"/>
            <w:vAlign w:val="bottom"/>
          </w:tcPr>
          <w:p w14:paraId="69766973"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Gift aid</w:t>
            </w:r>
          </w:p>
        </w:tc>
        <w:tc>
          <w:tcPr>
            <w:tcW w:w="1531" w:type="dxa"/>
            <w:tcBorders>
              <w:top w:val="nil"/>
              <w:left w:val="nil"/>
              <w:bottom w:val="nil"/>
              <w:right w:val="nil"/>
            </w:tcBorders>
            <w:shd w:val="clear" w:color="auto" w:fill="FFFFFF"/>
            <w:vAlign w:val="bottom"/>
          </w:tcPr>
          <w:p w14:paraId="7EB8430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4,391</w:t>
            </w:r>
          </w:p>
        </w:tc>
        <w:tc>
          <w:tcPr>
            <w:tcW w:w="1531" w:type="dxa"/>
            <w:tcBorders>
              <w:top w:val="nil"/>
              <w:left w:val="nil"/>
              <w:bottom w:val="nil"/>
              <w:right w:val="nil"/>
            </w:tcBorders>
            <w:shd w:val="clear" w:color="auto" w:fill="FFFFFF"/>
            <w:vAlign w:val="bottom"/>
          </w:tcPr>
          <w:p w14:paraId="7DEF829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68718CD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4,391</w:t>
            </w:r>
          </w:p>
        </w:tc>
      </w:tr>
      <w:tr w:rsidR="002575C6" w14:paraId="7B7F3E5D" w14:textId="77777777">
        <w:tblPrEx>
          <w:tblCellMar>
            <w:top w:w="0" w:type="dxa"/>
            <w:left w:w="0" w:type="dxa"/>
            <w:bottom w:w="0" w:type="dxa"/>
            <w:right w:w="0" w:type="dxa"/>
          </w:tblCellMar>
        </w:tblPrEx>
        <w:tc>
          <w:tcPr>
            <w:tcW w:w="4439" w:type="dxa"/>
            <w:gridSpan w:val="2"/>
            <w:tcBorders>
              <w:top w:val="nil"/>
              <w:left w:val="nil"/>
              <w:bottom w:val="nil"/>
              <w:right w:val="nil"/>
            </w:tcBorders>
            <w:shd w:val="clear" w:color="auto" w:fill="FFFFFF"/>
            <w:vAlign w:val="bottom"/>
          </w:tcPr>
          <w:p w14:paraId="69FFA8A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Grants Received</w:t>
            </w:r>
          </w:p>
        </w:tc>
        <w:tc>
          <w:tcPr>
            <w:tcW w:w="1531" w:type="dxa"/>
            <w:tcBorders>
              <w:top w:val="nil"/>
              <w:left w:val="nil"/>
              <w:bottom w:val="nil"/>
              <w:right w:val="nil"/>
            </w:tcBorders>
            <w:shd w:val="clear" w:color="auto" w:fill="FFFFFF"/>
            <w:vAlign w:val="bottom"/>
          </w:tcPr>
          <w:p w14:paraId="0FF6911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3,500</w:t>
            </w:r>
          </w:p>
        </w:tc>
        <w:tc>
          <w:tcPr>
            <w:tcW w:w="1531" w:type="dxa"/>
            <w:tcBorders>
              <w:top w:val="nil"/>
              <w:left w:val="nil"/>
              <w:bottom w:val="nil"/>
              <w:right w:val="nil"/>
            </w:tcBorders>
            <w:shd w:val="clear" w:color="auto" w:fill="FFFFFF"/>
            <w:vAlign w:val="bottom"/>
          </w:tcPr>
          <w:p w14:paraId="012931E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30,018</w:t>
            </w:r>
          </w:p>
        </w:tc>
        <w:tc>
          <w:tcPr>
            <w:tcW w:w="1531" w:type="dxa"/>
            <w:tcBorders>
              <w:top w:val="nil"/>
              <w:left w:val="nil"/>
              <w:bottom w:val="nil"/>
              <w:right w:val="nil"/>
            </w:tcBorders>
            <w:shd w:val="clear" w:color="auto" w:fill="FFFFFF"/>
            <w:vAlign w:val="bottom"/>
          </w:tcPr>
          <w:p w14:paraId="246CC2F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33,518</w:t>
            </w:r>
          </w:p>
        </w:tc>
      </w:tr>
      <w:tr w:rsidR="002575C6" w14:paraId="65F0FEBD" w14:textId="77777777">
        <w:tblPrEx>
          <w:tblCellMar>
            <w:top w:w="0" w:type="dxa"/>
            <w:left w:w="0" w:type="dxa"/>
            <w:bottom w:w="0" w:type="dxa"/>
            <w:right w:w="0" w:type="dxa"/>
          </w:tblCellMar>
        </w:tblPrEx>
        <w:tc>
          <w:tcPr>
            <w:tcW w:w="4439" w:type="dxa"/>
            <w:gridSpan w:val="2"/>
            <w:tcBorders>
              <w:top w:val="nil"/>
              <w:left w:val="nil"/>
              <w:bottom w:val="nil"/>
              <w:right w:val="nil"/>
            </w:tcBorders>
            <w:shd w:val="clear" w:color="auto" w:fill="FFFFFF"/>
            <w:vAlign w:val="bottom"/>
          </w:tcPr>
          <w:p w14:paraId="5B885E92"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Regular Giving</w:t>
            </w:r>
          </w:p>
        </w:tc>
        <w:tc>
          <w:tcPr>
            <w:tcW w:w="1531" w:type="dxa"/>
            <w:tcBorders>
              <w:top w:val="nil"/>
              <w:left w:val="nil"/>
              <w:bottom w:val="single" w:sz="2" w:space="0" w:color="auto"/>
              <w:right w:val="nil"/>
            </w:tcBorders>
            <w:shd w:val="clear" w:color="auto" w:fill="FFFFFF"/>
            <w:vAlign w:val="bottom"/>
          </w:tcPr>
          <w:p w14:paraId="19A0F51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11,121</w:t>
            </w:r>
          </w:p>
        </w:tc>
        <w:tc>
          <w:tcPr>
            <w:tcW w:w="1531" w:type="dxa"/>
            <w:tcBorders>
              <w:top w:val="nil"/>
              <w:left w:val="nil"/>
              <w:bottom w:val="single" w:sz="2" w:space="0" w:color="auto"/>
              <w:right w:val="nil"/>
            </w:tcBorders>
            <w:shd w:val="clear" w:color="auto" w:fill="FFFFFF"/>
            <w:vAlign w:val="bottom"/>
          </w:tcPr>
          <w:p w14:paraId="4EE8067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single" w:sz="2" w:space="0" w:color="auto"/>
              <w:right w:val="nil"/>
            </w:tcBorders>
            <w:shd w:val="clear" w:color="auto" w:fill="FFFFFF"/>
            <w:vAlign w:val="bottom"/>
          </w:tcPr>
          <w:p w14:paraId="364DE90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11,121</w:t>
            </w:r>
          </w:p>
        </w:tc>
      </w:tr>
      <w:tr w:rsidR="002575C6" w14:paraId="69296757" w14:textId="77777777">
        <w:tblPrEx>
          <w:tblCellMar>
            <w:top w:w="0" w:type="dxa"/>
            <w:left w:w="0" w:type="dxa"/>
            <w:bottom w:w="0" w:type="dxa"/>
            <w:right w:w="0" w:type="dxa"/>
          </w:tblCellMar>
        </w:tblPrEx>
        <w:tc>
          <w:tcPr>
            <w:tcW w:w="4439" w:type="dxa"/>
            <w:gridSpan w:val="2"/>
            <w:tcBorders>
              <w:top w:val="nil"/>
              <w:left w:val="nil"/>
              <w:bottom w:val="nil"/>
              <w:right w:val="nil"/>
            </w:tcBorders>
            <w:shd w:val="clear" w:color="auto" w:fill="FFFFFF"/>
            <w:vAlign w:val="bottom"/>
          </w:tcPr>
          <w:p w14:paraId="69699304"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1239F20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140,436</w:t>
            </w:r>
          </w:p>
        </w:tc>
        <w:tc>
          <w:tcPr>
            <w:tcW w:w="1531" w:type="dxa"/>
            <w:tcBorders>
              <w:top w:val="nil"/>
              <w:left w:val="nil"/>
              <w:bottom w:val="double" w:sz="2" w:space="0" w:color="auto"/>
              <w:right w:val="nil"/>
            </w:tcBorders>
            <w:shd w:val="clear" w:color="auto" w:fill="FFFFFF"/>
            <w:vAlign w:val="bottom"/>
          </w:tcPr>
          <w:p w14:paraId="540777E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30,018</w:t>
            </w:r>
          </w:p>
        </w:tc>
        <w:tc>
          <w:tcPr>
            <w:tcW w:w="1531" w:type="dxa"/>
            <w:tcBorders>
              <w:top w:val="nil"/>
              <w:left w:val="nil"/>
              <w:bottom w:val="double" w:sz="2" w:space="0" w:color="auto"/>
              <w:right w:val="nil"/>
            </w:tcBorders>
            <w:shd w:val="clear" w:color="auto" w:fill="FFFFFF"/>
            <w:vAlign w:val="bottom"/>
          </w:tcPr>
          <w:p w14:paraId="3D90701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170,454</w:t>
            </w:r>
          </w:p>
        </w:tc>
      </w:tr>
    </w:tbl>
    <w:p w14:paraId="746E62E6"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84"/>
        <w:gridCol w:w="5686"/>
        <w:gridCol w:w="1531"/>
        <w:gridCol w:w="1533"/>
      </w:tblGrid>
      <w:tr w:rsidR="002575C6" w14:paraId="46FE4D65"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49D4F9C8"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A7F3A9C"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4DF83B0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43621915"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24EBF635"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B5112EB"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04F75A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619D5DDE"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25690D0D"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Donations and Gifts</w:t>
            </w:r>
          </w:p>
        </w:tc>
        <w:tc>
          <w:tcPr>
            <w:tcW w:w="1531" w:type="dxa"/>
            <w:tcBorders>
              <w:top w:val="nil"/>
              <w:left w:val="nil"/>
              <w:bottom w:val="nil"/>
              <w:right w:val="nil"/>
            </w:tcBorders>
            <w:shd w:val="clear" w:color="auto" w:fill="FFFFFF"/>
            <w:vAlign w:val="bottom"/>
          </w:tcPr>
          <w:p w14:paraId="4A267E1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97,695</w:t>
            </w:r>
          </w:p>
        </w:tc>
        <w:tc>
          <w:tcPr>
            <w:tcW w:w="1531" w:type="dxa"/>
            <w:tcBorders>
              <w:top w:val="nil"/>
              <w:left w:val="nil"/>
              <w:bottom w:val="nil"/>
              <w:right w:val="nil"/>
            </w:tcBorders>
            <w:shd w:val="clear" w:color="auto" w:fill="FFFFFF"/>
            <w:vAlign w:val="bottom"/>
          </w:tcPr>
          <w:p w14:paraId="41BF43E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97,695</w:t>
            </w:r>
          </w:p>
        </w:tc>
      </w:tr>
      <w:tr w:rsidR="002575C6" w14:paraId="45D2E3BC"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6D270322"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Gift aid</w:t>
            </w:r>
          </w:p>
        </w:tc>
        <w:tc>
          <w:tcPr>
            <w:tcW w:w="1531" w:type="dxa"/>
            <w:tcBorders>
              <w:top w:val="nil"/>
              <w:left w:val="nil"/>
              <w:bottom w:val="nil"/>
              <w:right w:val="nil"/>
            </w:tcBorders>
            <w:shd w:val="clear" w:color="auto" w:fill="FFFFFF"/>
            <w:vAlign w:val="bottom"/>
          </w:tcPr>
          <w:p w14:paraId="0CB0285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3,931</w:t>
            </w:r>
          </w:p>
        </w:tc>
        <w:tc>
          <w:tcPr>
            <w:tcW w:w="1531" w:type="dxa"/>
            <w:tcBorders>
              <w:top w:val="nil"/>
              <w:left w:val="nil"/>
              <w:bottom w:val="nil"/>
              <w:right w:val="nil"/>
            </w:tcBorders>
            <w:shd w:val="clear" w:color="auto" w:fill="FFFFFF"/>
            <w:vAlign w:val="bottom"/>
          </w:tcPr>
          <w:p w14:paraId="5D0938B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3,931</w:t>
            </w:r>
          </w:p>
        </w:tc>
      </w:tr>
      <w:tr w:rsidR="002575C6" w14:paraId="0D0F4145"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46776FC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Grants Received</w:t>
            </w:r>
          </w:p>
        </w:tc>
        <w:tc>
          <w:tcPr>
            <w:tcW w:w="1531" w:type="dxa"/>
            <w:tcBorders>
              <w:top w:val="nil"/>
              <w:left w:val="nil"/>
              <w:bottom w:val="nil"/>
              <w:right w:val="nil"/>
            </w:tcBorders>
            <w:shd w:val="clear" w:color="auto" w:fill="FFFFFF"/>
            <w:vAlign w:val="bottom"/>
          </w:tcPr>
          <w:p w14:paraId="6F08D06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18,500</w:t>
            </w:r>
          </w:p>
        </w:tc>
        <w:tc>
          <w:tcPr>
            <w:tcW w:w="1531" w:type="dxa"/>
            <w:tcBorders>
              <w:top w:val="nil"/>
              <w:left w:val="nil"/>
              <w:bottom w:val="nil"/>
              <w:right w:val="nil"/>
            </w:tcBorders>
            <w:shd w:val="clear" w:color="auto" w:fill="FFFFFF"/>
            <w:vAlign w:val="bottom"/>
          </w:tcPr>
          <w:p w14:paraId="403003D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18,500</w:t>
            </w:r>
          </w:p>
        </w:tc>
      </w:tr>
      <w:tr w:rsidR="002575C6" w14:paraId="0395D956"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1D47AD77"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Regular Giving</w:t>
            </w:r>
          </w:p>
        </w:tc>
        <w:tc>
          <w:tcPr>
            <w:tcW w:w="1531" w:type="dxa"/>
            <w:tcBorders>
              <w:top w:val="nil"/>
              <w:left w:val="nil"/>
              <w:bottom w:val="single" w:sz="2" w:space="0" w:color="auto"/>
              <w:right w:val="nil"/>
            </w:tcBorders>
            <w:shd w:val="clear" w:color="auto" w:fill="FFFFFF"/>
            <w:vAlign w:val="bottom"/>
          </w:tcPr>
          <w:p w14:paraId="61D666F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9,956</w:t>
            </w:r>
          </w:p>
        </w:tc>
        <w:tc>
          <w:tcPr>
            <w:tcW w:w="1531" w:type="dxa"/>
            <w:tcBorders>
              <w:top w:val="nil"/>
              <w:left w:val="nil"/>
              <w:bottom w:val="single" w:sz="2" w:space="0" w:color="auto"/>
              <w:right w:val="nil"/>
            </w:tcBorders>
            <w:shd w:val="clear" w:color="auto" w:fill="FFFFFF"/>
            <w:vAlign w:val="bottom"/>
          </w:tcPr>
          <w:p w14:paraId="7938655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9,956</w:t>
            </w:r>
          </w:p>
        </w:tc>
      </w:tr>
      <w:tr w:rsidR="002575C6" w14:paraId="13277DF0"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26BF7A68"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1AC7AA2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130,082</w:t>
            </w:r>
          </w:p>
        </w:tc>
        <w:tc>
          <w:tcPr>
            <w:tcW w:w="1531" w:type="dxa"/>
            <w:tcBorders>
              <w:top w:val="nil"/>
              <w:left w:val="nil"/>
              <w:bottom w:val="double" w:sz="2" w:space="0" w:color="auto"/>
              <w:right w:val="nil"/>
            </w:tcBorders>
            <w:shd w:val="clear" w:color="auto" w:fill="FFFFFF"/>
            <w:vAlign w:val="bottom"/>
          </w:tcPr>
          <w:p w14:paraId="78D80AE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130,082</w:t>
            </w:r>
          </w:p>
        </w:tc>
      </w:tr>
      <w:tr w:rsidR="002575C6" w14:paraId="4E852BA3"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6D172C3D"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3</w:t>
            </w:r>
          </w:p>
        </w:tc>
        <w:tc>
          <w:tcPr>
            <w:tcW w:w="8750" w:type="dxa"/>
            <w:gridSpan w:val="3"/>
            <w:tcBorders>
              <w:top w:val="nil"/>
              <w:left w:val="nil"/>
              <w:bottom w:val="nil"/>
              <w:right w:val="nil"/>
            </w:tcBorders>
            <w:shd w:val="clear" w:color="auto" w:fill="FFFFFF"/>
            <w:vAlign w:val="center"/>
          </w:tcPr>
          <w:p w14:paraId="2D090803"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Income from charitable activities</w:t>
            </w:r>
          </w:p>
        </w:tc>
      </w:tr>
      <w:tr w:rsidR="002575C6" w14:paraId="0237F540"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65E7F02B"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DF5874D"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1F545B1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23AB0779"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37C854F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1B6F8057"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1F9B4B78"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46E71B7C"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734A6E5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Event Funding</w:t>
            </w:r>
          </w:p>
        </w:tc>
        <w:tc>
          <w:tcPr>
            <w:tcW w:w="1531" w:type="dxa"/>
            <w:tcBorders>
              <w:top w:val="nil"/>
              <w:left w:val="nil"/>
              <w:bottom w:val="nil"/>
              <w:right w:val="nil"/>
            </w:tcBorders>
            <w:shd w:val="clear" w:color="auto" w:fill="FFFFFF"/>
            <w:vAlign w:val="bottom"/>
          </w:tcPr>
          <w:p w14:paraId="0978FBF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18,236</w:t>
            </w:r>
          </w:p>
        </w:tc>
        <w:tc>
          <w:tcPr>
            <w:tcW w:w="1531" w:type="dxa"/>
            <w:tcBorders>
              <w:top w:val="nil"/>
              <w:left w:val="nil"/>
              <w:bottom w:val="nil"/>
              <w:right w:val="nil"/>
            </w:tcBorders>
            <w:shd w:val="clear" w:color="auto" w:fill="FFFFFF"/>
            <w:vAlign w:val="bottom"/>
          </w:tcPr>
          <w:p w14:paraId="016626B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18,236</w:t>
            </w:r>
          </w:p>
        </w:tc>
      </w:tr>
      <w:tr w:rsidR="002575C6" w14:paraId="32C5447B"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2B162CF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NHS - Commissioned Services</w:t>
            </w:r>
          </w:p>
        </w:tc>
        <w:tc>
          <w:tcPr>
            <w:tcW w:w="1531" w:type="dxa"/>
            <w:tcBorders>
              <w:top w:val="nil"/>
              <w:left w:val="nil"/>
              <w:bottom w:val="single" w:sz="2" w:space="0" w:color="auto"/>
              <w:right w:val="nil"/>
            </w:tcBorders>
            <w:shd w:val="clear" w:color="auto" w:fill="FFFFFF"/>
            <w:vAlign w:val="bottom"/>
          </w:tcPr>
          <w:p w14:paraId="0CC767D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205,208</w:t>
            </w:r>
          </w:p>
        </w:tc>
        <w:tc>
          <w:tcPr>
            <w:tcW w:w="1531" w:type="dxa"/>
            <w:tcBorders>
              <w:top w:val="nil"/>
              <w:left w:val="nil"/>
              <w:bottom w:val="single" w:sz="2" w:space="0" w:color="auto"/>
              <w:right w:val="nil"/>
            </w:tcBorders>
            <w:shd w:val="clear" w:color="auto" w:fill="FFFFFF"/>
            <w:vAlign w:val="bottom"/>
          </w:tcPr>
          <w:p w14:paraId="58E70C0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205,208</w:t>
            </w:r>
          </w:p>
        </w:tc>
      </w:tr>
      <w:tr w:rsidR="002575C6" w14:paraId="57EC7D09"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54E0F7A7"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55899AC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223,444</w:t>
            </w:r>
          </w:p>
        </w:tc>
        <w:tc>
          <w:tcPr>
            <w:tcW w:w="1531" w:type="dxa"/>
            <w:tcBorders>
              <w:top w:val="nil"/>
              <w:left w:val="nil"/>
              <w:bottom w:val="double" w:sz="2" w:space="0" w:color="auto"/>
              <w:right w:val="nil"/>
            </w:tcBorders>
            <w:shd w:val="clear" w:color="auto" w:fill="FFFFFF"/>
            <w:vAlign w:val="bottom"/>
          </w:tcPr>
          <w:p w14:paraId="1B02DD3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223,444</w:t>
            </w:r>
          </w:p>
        </w:tc>
      </w:tr>
    </w:tbl>
    <w:p w14:paraId="2685B31D"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5970"/>
        <w:gridCol w:w="1531"/>
        <w:gridCol w:w="1531"/>
      </w:tblGrid>
      <w:tr w:rsidR="002575C6" w14:paraId="799A4BE9"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7235282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7C51C74A"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6857566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281AD145"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2F5F271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706AE070"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F310F0A"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724FC419"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27DB075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Event Funding</w:t>
            </w:r>
          </w:p>
        </w:tc>
        <w:tc>
          <w:tcPr>
            <w:tcW w:w="1531" w:type="dxa"/>
            <w:tcBorders>
              <w:top w:val="nil"/>
              <w:left w:val="nil"/>
              <w:bottom w:val="nil"/>
              <w:right w:val="nil"/>
            </w:tcBorders>
            <w:shd w:val="clear" w:color="auto" w:fill="FFFFFF"/>
            <w:vAlign w:val="bottom"/>
          </w:tcPr>
          <w:p w14:paraId="18B5E5E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10,000</w:t>
            </w:r>
          </w:p>
        </w:tc>
        <w:tc>
          <w:tcPr>
            <w:tcW w:w="1531" w:type="dxa"/>
            <w:tcBorders>
              <w:top w:val="nil"/>
              <w:left w:val="nil"/>
              <w:bottom w:val="nil"/>
              <w:right w:val="nil"/>
            </w:tcBorders>
            <w:shd w:val="clear" w:color="auto" w:fill="FFFFFF"/>
            <w:vAlign w:val="bottom"/>
          </w:tcPr>
          <w:p w14:paraId="1540CEF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10,000</w:t>
            </w:r>
          </w:p>
        </w:tc>
      </w:tr>
      <w:tr w:rsidR="002575C6" w14:paraId="74459B3B"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7922D709"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NHS - Commissioned Services</w:t>
            </w:r>
          </w:p>
        </w:tc>
        <w:tc>
          <w:tcPr>
            <w:tcW w:w="1531" w:type="dxa"/>
            <w:tcBorders>
              <w:top w:val="nil"/>
              <w:left w:val="nil"/>
              <w:bottom w:val="single" w:sz="2" w:space="0" w:color="auto"/>
              <w:right w:val="nil"/>
            </w:tcBorders>
            <w:shd w:val="clear" w:color="auto" w:fill="FFFFFF"/>
            <w:vAlign w:val="bottom"/>
          </w:tcPr>
          <w:p w14:paraId="48A05A1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171,107</w:t>
            </w:r>
          </w:p>
        </w:tc>
        <w:tc>
          <w:tcPr>
            <w:tcW w:w="1531" w:type="dxa"/>
            <w:tcBorders>
              <w:top w:val="nil"/>
              <w:left w:val="nil"/>
              <w:bottom w:val="single" w:sz="2" w:space="0" w:color="auto"/>
              <w:right w:val="nil"/>
            </w:tcBorders>
            <w:shd w:val="clear" w:color="auto" w:fill="FFFFFF"/>
            <w:vAlign w:val="bottom"/>
          </w:tcPr>
          <w:p w14:paraId="4AAD453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171,107</w:t>
            </w:r>
          </w:p>
        </w:tc>
      </w:tr>
      <w:tr w:rsidR="002575C6" w14:paraId="0B222E7E"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2D612C7B"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03F442E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181,107</w:t>
            </w:r>
          </w:p>
        </w:tc>
        <w:tc>
          <w:tcPr>
            <w:tcW w:w="1531" w:type="dxa"/>
            <w:tcBorders>
              <w:top w:val="nil"/>
              <w:left w:val="nil"/>
              <w:bottom w:val="double" w:sz="2" w:space="0" w:color="auto"/>
              <w:right w:val="nil"/>
            </w:tcBorders>
            <w:shd w:val="clear" w:color="auto" w:fill="FFFFFF"/>
            <w:vAlign w:val="bottom"/>
          </w:tcPr>
          <w:p w14:paraId="4CB65D3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181,107</w:t>
            </w:r>
          </w:p>
        </w:tc>
      </w:tr>
    </w:tbl>
    <w:p w14:paraId="395E5DC2"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7"/>
          <w:pgSz w:w="11909" w:h="16834"/>
          <w:pgMar w:top="1440" w:right="1440" w:bottom="1440" w:left="1440" w:header="720" w:footer="720" w:gutter="0"/>
          <w:cols w:space="720"/>
          <w:noEndnote/>
        </w:sectPr>
      </w:pPr>
    </w:p>
    <w:p w14:paraId="743FA7FA"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91C0D1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5686"/>
        <w:gridCol w:w="1531"/>
        <w:gridCol w:w="1533"/>
      </w:tblGrid>
      <w:tr w:rsidR="002575C6" w14:paraId="79152D24"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543015EF"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4</w:t>
            </w:r>
          </w:p>
        </w:tc>
        <w:tc>
          <w:tcPr>
            <w:tcW w:w="8750" w:type="dxa"/>
            <w:gridSpan w:val="3"/>
            <w:tcBorders>
              <w:top w:val="nil"/>
              <w:left w:val="nil"/>
              <w:bottom w:val="nil"/>
              <w:right w:val="nil"/>
            </w:tcBorders>
            <w:shd w:val="clear" w:color="auto" w:fill="FFFFFF"/>
            <w:vAlign w:val="center"/>
          </w:tcPr>
          <w:p w14:paraId="53C64A17"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Income from other trading activities</w:t>
            </w:r>
          </w:p>
        </w:tc>
      </w:tr>
      <w:tr w:rsidR="002575C6" w14:paraId="32A95C81"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3C71C7A6"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7404F1A9"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7CB7CFB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4C326FA4"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264E886C"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2DD45C9F"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6F1FAE1"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632F98EF"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45F1C19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Sale of Merchandise</w:t>
            </w:r>
          </w:p>
        </w:tc>
        <w:tc>
          <w:tcPr>
            <w:tcW w:w="1531" w:type="dxa"/>
            <w:tcBorders>
              <w:top w:val="nil"/>
              <w:left w:val="nil"/>
              <w:bottom w:val="nil"/>
              <w:right w:val="nil"/>
            </w:tcBorders>
            <w:shd w:val="clear" w:color="auto" w:fill="FFFFFF"/>
            <w:vAlign w:val="bottom"/>
          </w:tcPr>
          <w:p w14:paraId="669D987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942</w:t>
            </w:r>
          </w:p>
        </w:tc>
        <w:tc>
          <w:tcPr>
            <w:tcW w:w="1531" w:type="dxa"/>
            <w:tcBorders>
              <w:top w:val="nil"/>
              <w:left w:val="nil"/>
              <w:bottom w:val="nil"/>
              <w:right w:val="nil"/>
            </w:tcBorders>
            <w:shd w:val="clear" w:color="auto" w:fill="FFFFFF"/>
            <w:vAlign w:val="bottom"/>
          </w:tcPr>
          <w:p w14:paraId="46EF3E2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942</w:t>
            </w:r>
          </w:p>
        </w:tc>
      </w:tr>
      <w:tr w:rsidR="002575C6" w14:paraId="3AA0C9F4"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340AE8F5"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Fundraising Proceeds</w:t>
            </w:r>
          </w:p>
        </w:tc>
        <w:tc>
          <w:tcPr>
            <w:tcW w:w="1531" w:type="dxa"/>
            <w:tcBorders>
              <w:top w:val="nil"/>
              <w:left w:val="nil"/>
              <w:bottom w:val="single" w:sz="2" w:space="0" w:color="auto"/>
              <w:right w:val="nil"/>
            </w:tcBorders>
            <w:shd w:val="clear" w:color="auto" w:fill="FFFFFF"/>
            <w:vAlign w:val="bottom"/>
          </w:tcPr>
          <w:p w14:paraId="2197DA9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1,592</w:t>
            </w:r>
          </w:p>
        </w:tc>
        <w:tc>
          <w:tcPr>
            <w:tcW w:w="1531" w:type="dxa"/>
            <w:tcBorders>
              <w:top w:val="nil"/>
              <w:left w:val="nil"/>
              <w:bottom w:val="single" w:sz="2" w:space="0" w:color="auto"/>
              <w:right w:val="nil"/>
            </w:tcBorders>
            <w:shd w:val="clear" w:color="auto" w:fill="FFFFFF"/>
            <w:vAlign w:val="bottom"/>
          </w:tcPr>
          <w:p w14:paraId="59A8C52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1,592</w:t>
            </w:r>
          </w:p>
        </w:tc>
      </w:tr>
      <w:tr w:rsidR="002575C6" w14:paraId="2AEBF8E5"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45706C7C"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04FE988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2,534</w:t>
            </w:r>
          </w:p>
        </w:tc>
        <w:tc>
          <w:tcPr>
            <w:tcW w:w="1531" w:type="dxa"/>
            <w:tcBorders>
              <w:top w:val="nil"/>
              <w:left w:val="nil"/>
              <w:bottom w:val="double" w:sz="2" w:space="0" w:color="auto"/>
              <w:right w:val="nil"/>
            </w:tcBorders>
            <w:shd w:val="clear" w:color="auto" w:fill="FFFFFF"/>
            <w:vAlign w:val="bottom"/>
          </w:tcPr>
          <w:p w14:paraId="362E57D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2,534</w:t>
            </w:r>
          </w:p>
        </w:tc>
      </w:tr>
      <w:tr w:rsidR="002575C6" w14:paraId="020AD515"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39B8285B"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5</w:t>
            </w:r>
          </w:p>
        </w:tc>
        <w:tc>
          <w:tcPr>
            <w:tcW w:w="8750" w:type="dxa"/>
            <w:gridSpan w:val="3"/>
            <w:tcBorders>
              <w:top w:val="nil"/>
              <w:left w:val="nil"/>
              <w:bottom w:val="nil"/>
              <w:right w:val="nil"/>
            </w:tcBorders>
            <w:shd w:val="clear" w:color="auto" w:fill="FFFFFF"/>
            <w:vAlign w:val="center"/>
          </w:tcPr>
          <w:p w14:paraId="68F1099E"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Investment income</w:t>
            </w:r>
          </w:p>
        </w:tc>
      </w:tr>
      <w:tr w:rsidR="002575C6" w14:paraId="13075557"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749D4292"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00FC0DE"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0766EFBA"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44D1D735"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1B61A8E0"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C984AA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975BC9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590BE50E"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4139F5FA"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Interest receivable on bank deposits</w:t>
            </w:r>
          </w:p>
        </w:tc>
        <w:tc>
          <w:tcPr>
            <w:tcW w:w="1531" w:type="dxa"/>
            <w:tcBorders>
              <w:top w:val="nil"/>
              <w:left w:val="nil"/>
              <w:bottom w:val="double" w:sz="2" w:space="0" w:color="auto"/>
              <w:right w:val="nil"/>
            </w:tcBorders>
            <w:shd w:val="clear" w:color="auto" w:fill="FFFFFF"/>
            <w:vAlign w:val="bottom"/>
          </w:tcPr>
          <w:p w14:paraId="679E5CF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850</w:t>
            </w:r>
          </w:p>
        </w:tc>
        <w:tc>
          <w:tcPr>
            <w:tcW w:w="1531" w:type="dxa"/>
            <w:tcBorders>
              <w:top w:val="nil"/>
              <w:left w:val="nil"/>
              <w:bottom w:val="double" w:sz="2" w:space="0" w:color="auto"/>
              <w:right w:val="nil"/>
            </w:tcBorders>
            <w:shd w:val="clear" w:color="auto" w:fill="FFFFFF"/>
            <w:vAlign w:val="bottom"/>
          </w:tcPr>
          <w:p w14:paraId="41619E8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850</w:t>
            </w:r>
          </w:p>
        </w:tc>
      </w:tr>
    </w:tbl>
    <w:p w14:paraId="385F2A85"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84"/>
        <w:gridCol w:w="5686"/>
        <w:gridCol w:w="1531"/>
        <w:gridCol w:w="1533"/>
      </w:tblGrid>
      <w:tr w:rsidR="002575C6" w14:paraId="60DF06A8"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35EF0164"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2D152156"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1EACA913"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388452AF"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670F432E"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4F9127FB"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0EB7B41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26B25903"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4764E13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Interest receivable on bank deposits</w:t>
            </w:r>
          </w:p>
        </w:tc>
        <w:tc>
          <w:tcPr>
            <w:tcW w:w="1531" w:type="dxa"/>
            <w:tcBorders>
              <w:top w:val="nil"/>
              <w:left w:val="nil"/>
              <w:bottom w:val="double" w:sz="2" w:space="0" w:color="auto"/>
              <w:right w:val="nil"/>
            </w:tcBorders>
            <w:shd w:val="clear" w:color="auto" w:fill="FFFFFF"/>
            <w:vAlign w:val="bottom"/>
          </w:tcPr>
          <w:p w14:paraId="0421969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664</w:t>
            </w:r>
          </w:p>
        </w:tc>
        <w:tc>
          <w:tcPr>
            <w:tcW w:w="1531" w:type="dxa"/>
            <w:tcBorders>
              <w:top w:val="nil"/>
              <w:left w:val="nil"/>
              <w:bottom w:val="double" w:sz="2" w:space="0" w:color="auto"/>
              <w:right w:val="nil"/>
            </w:tcBorders>
            <w:shd w:val="clear" w:color="auto" w:fill="FFFFFF"/>
            <w:vAlign w:val="bottom"/>
          </w:tcPr>
          <w:p w14:paraId="179ABF8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664</w:t>
            </w:r>
          </w:p>
        </w:tc>
      </w:tr>
      <w:tr w:rsidR="002575C6" w14:paraId="1DC70F7A"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230DA00F"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6</w:t>
            </w:r>
          </w:p>
        </w:tc>
        <w:tc>
          <w:tcPr>
            <w:tcW w:w="8750" w:type="dxa"/>
            <w:gridSpan w:val="3"/>
            <w:tcBorders>
              <w:top w:val="nil"/>
              <w:left w:val="nil"/>
              <w:bottom w:val="nil"/>
              <w:right w:val="nil"/>
            </w:tcBorders>
            <w:shd w:val="clear" w:color="auto" w:fill="FFFFFF"/>
            <w:vAlign w:val="center"/>
          </w:tcPr>
          <w:p w14:paraId="5CC21C5D"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Other income</w:t>
            </w:r>
          </w:p>
        </w:tc>
      </w:tr>
      <w:tr w:rsidR="002575C6" w14:paraId="6F5E345D"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78A9802D"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19A73BC8"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3FAD1DD4"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204EDE02"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0C0BD8A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3D829AA4"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56734C9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29B4458C"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0CA7A455"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income</w:t>
            </w:r>
          </w:p>
        </w:tc>
        <w:tc>
          <w:tcPr>
            <w:tcW w:w="1531" w:type="dxa"/>
            <w:tcBorders>
              <w:top w:val="nil"/>
              <w:left w:val="nil"/>
              <w:bottom w:val="double" w:sz="2" w:space="0" w:color="auto"/>
              <w:right w:val="nil"/>
            </w:tcBorders>
            <w:shd w:val="clear" w:color="auto" w:fill="FFFFFF"/>
            <w:vAlign w:val="bottom"/>
          </w:tcPr>
          <w:p w14:paraId="16580DC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1,000</w:t>
            </w:r>
          </w:p>
        </w:tc>
        <w:tc>
          <w:tcPr>
            <w:tcW w:w="1531" w:type="dxa"/>
            <w:tcBorders>
              <w:top w:val="nil"/>
              <w:left w:val="nil"/>
              <w:bottom w:val="double" w:sz="2" w:space="0" w:color="auto"/>
              <w:right w:val="nil"/>
            </w:tcBorders>
            <w:shd w:val="clear" w:color="auto" w:fill="FFFFFF"/>
            <w:vAlign w:val="bottom"/>
          </w:tcPr>
          <w:p w14:paraId="4B16186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1,000</w:t>
            </w:r>
          </w:p>
        </w:tc>
      </w:tr>
    </w:tbl>
    <w:p w14:paraId="03DCE2EE"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5970"/>
        <w:gridCol w:w="1531"/>
        <w:gridCol w:w="1531"/>
      </w:tblGrid>
      <w:tr w:rsidR="002575C6" w14:paraId="0AB7BA2F"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4BFA7A7C"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6339BF76"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3972F898"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40940B7B"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456E642E"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37062103"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012D43F0"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2C788F19"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0A89377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income</w:t>
            </w:r>
          </w:p>
        </w:tc>
        <w:tc>
          <w:tcPr>
            <w:tcW w:w="1531" w:type="dxa"/>
            <w:tcBorders>
              <w:top w:val="nil"/>
              <w:left w:val="nil"/>
              <w:bottom w:val="double" w:sz="2" w:space="0" w:color="auto"/>
              <w:right w:val="nil"/>
            </w:tcBorders>
            <w:shd w:val="clear" w:color="auto" w:fill="FFFFFF"/>
            <w:vAlign w:val="bottom"/>
          </w:tcPr>
          <w:p w14:paraId="4D22987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1,400</w:t>
            </w:r>
          </w:p>
        </w:tc>
        <w:tc>
          <w:tcPr>
            <w:tcW w:w="1531" w:type="dxa"/>
            <w:tcBorders>
              <w:top w:val="nil"/>
              <w:left w:val="nil"/>
              <w:bottom w:val="double" w:sz="2" w:space="0" w:color="auto"/>
              <w:right w:val="nil"/>
            </w:tcBorders>
            <w:shd w:val="clear" w:color="auto" w:fill="FFFFFF"/>
            <w:vAlign w:val="bottom"/>
          </w:tcPr>
          <w:p w14:paraId="4340EAB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1,400</w:t>
            </w:r>
          </w:p>
        </w:tc>
      </w:tr>
    </w:tbl>
    <w:p w14:paraId="28168328"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8"/>
          <w:pgSz w:w="11909" w:h="16834"/>
          <w:pgMar w:top="1440" w:right="1440" w:bottom="1440" w:left="1440" w:header="720" w:footer="720" w:gutter="0"/>
          <w:cols w:space="720"/>
          <w:noEndnote/>
        </w:sectPr>
      </w:pPr>
    </w:p>
    <w:p w14:paraId="02B25D8B"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0FBB3FF7"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5119"/>
        <w:gridCol w:w="567"/>
        <w:gridCol w:w="1531"/>
        <w:gridCol w:w="1533"/>
      </w:tblGrid>
      <w:tr w:rsidR="002575C6" w14:paraId="7C1AB2BB"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1D91AF7E"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7</w:t>
            </w:r>
          </w:p>
        </w:tc>
        <w:tc>
          <w:tcPr>
            <w:tcW w:w="8750" w:type="dxa"/>
            <w:gridSpan w:val="4"/>
            <w:tcBorders>
              <w:top w:val="nil"/>
              <w:left w:val="nil"/>
              <w:bottom w:val="nil"/>
              <w:right w:val="nil"/>
            </w:tcBorders>
            <w:shd w:val="clear" w:color="auto" w:fill="FFFFFF"/>
            <w:vAlign w:val="center"/>
          </w:tcPr>
          <w:p w14:paraId="79062732"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Expenditure on raising funds</w:t>
            </w:r>
          </w:p>
        </w:tc>
      </w:tr>
      <w:tr w:rsidR="002575C6" w14:paraId="33C403A7"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27479CA8" w14:textId="77777777" w:rsidR="002575C6" w:rsidRDefault="002575C6">
            <w:pPr>
              <w:autoSpaceDE w:val="0"/>
              <w:autoSpaceDN w:val="0"/>
              <w:adjustRightInd w:val="0"/>
              <w:spacing w:before="726" w:after="100" w:line="240" w:lineRule="auto"/>
              <w:jc w:val="both"/>
              <w:rPr>
                <w:rFonts w:ascii="Times New Roman" w:hAnsi="Times New Roman"/>
                <w:kern w:val="0"/>
              </w:rPr>
            </w:pPr>
            <w:r>
              <w:rPr>
                <w:rFonts w:ascii="Arial" w:hAnsi="Arial" w:cs="Arial"/>
                <w:b/>
                <w:bCs/>
                <w:kern w:val="0"/>
                <w:sz w:val="20"/>
                <w:szCs w:val="20"/>
              </w:rPr>
              <w:t>a)</w:t>
            </w:r>
          </w:p>
        </w:tc>
        <w:tc>
          <w:tcPr>
            <w:tcW w:w="8750" w:type="dxa"/>
            <w:gridSpan w:val="4"/>
            <w:tcBorders>
              <w:top w:val="nil"/>
              <w:left w:val="nil"/>
              <w:bottom w:val="nil"/>
              <w:right w:val="nil"/>
            </w:tcBorders>
            <w:shd w:val="clear" w:color="auto" w:fill="FFFFFF"/>
            <w:vAlign w:val="center"/>
          </w:tcPr>
          <w:p w14:paraId="0151A217"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Costs of generating donations and legacies</w:t>
            </w:r>
          </w:p>
        </w:tc>
      </w:tr>
      <w:tr w:rsidR="002575C6" w14:paraId="5B8A1CF5" w14:textId="77777777">
        <w:tblPrEx>
          <w:tblCellMar>
            <w:top w:w="0" w:type="dxa"/>
            <w:left w:w="0" w:type="dxa"/>
            <w:bottom w:w="0" w:type="dxa"/>
            <w:right w:w="0" w:type="dxa"/>
          </w:tblCellMar>
        </w:tblPrEx>
        <w:tc>
          <w:tcPr>
            <w:tcW w:w="5403" w:type="dxa"/>
            <w:gridSpan w:val="2"/>
            <w:tcBorders>
              <w:top w:val="nil"/>
              <w:left w:val="nil"/>
              <w:bottom w:val="nil"/>
              <w:right w:val="nil"/>
            </w:tcBorders>
            <w:shd w:val="clear" w:color="auto" w:fill="FFFFFF"/>
            <w:vAlign w:val="bottom"/>
          </w:tcPr>
          <w:p w14:paraId="01CCF976"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2F8AD00A"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7B5BD940"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0DAA5BA2"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3EC0C155" w14:textId="77777777">
        <w:tblPrEx>
          <w:tblCellMar>
            <w:top w:w="0" w:type="dxa"/>
            <w:left w:w="0" w:type="dxa"/>
            <w:bottom w:w="0" w:type="dxa"/>
            <w:right w:w="0" w:type="dxa"/>
          </w:tblCellMar>
        </w:tblPrEx>
        <w:tc>
          <w:tcPr>
            <w:tcW w:w="5403" w:type="dxa"/>
            <w:gridSpan w:val="2"/>
            <w:tcBorders>
              <w:top w:val="nil"/>
              <w:left w:val="nil"/>
              <w:bottom w:val="nil"/>
              <w:right w:val="nil"/>
            </w:tcBorders>
            <w:shd w:val="clear" w:color="auto" w:fill="FFFFFF"/>
            <w:vAlign w:val="bottom"/>
          </w:tcPr>
          <w:p w14:paraId="5C85CB4D"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13D5432F"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777F1F5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62E322F3"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6BEF34CE" w14:textId="77777777">
        <w:tblPrEx>
          <w:tblCellMar>
            <w:top w:w="0" w:type="dxa"/>
            <w:left w:w="0" w:type="dxa"/>
            <w:bottom w:w="0" w:type="dxa"/>
            <w:right w:w="0" w:type="dxa"/>
          </w:tblCellMar>
        </w:tblPrEx>
        <w:tc>
          <w:tcPr>
            <w:tcW w:w="5403" w:type="dxa"/>
            <w:gridSpan w:val="2"/>
            <w:tcBorders>
              <w:top w:val="nil"/>
              <w:left w:val="nil"/>
              <w:bottom w:val="nil"/>
              <w:right w:val="nil"/>
            </w:tcBorders>
            <w:shd w:val="clear" w:color="auto" w:fill="FFFFFF"/>
            <w:vAlign w:val="bottom"/>
          </w:tcPr>
          <w:p w14:paraId="03C5B9C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Donations expenses</w:t>
            </w:r>
          </w:p>
        </w:tc>
        <w:tc>
          <w:tcPr>
            <w:tcW w:w="567" w:type="dxa"/>
            <w:tcBorders>
              <w:top w:val="nil"/>
              <w:left w:val="nil"/>
              <w:bottom w:val="nil"/>
              <w:right w:val="nil"/>
            </w:tcBorders>
            <w:shd w:val="clear" w:color="auto" w:fill="FFFFFF"/>
            <w:vAlign w:val="bottom"/>
          </w:tcPr>
          <w:p w14:paraId="5375410A"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544D017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433</w:t>
            </w:r>
          </w:p>
        </w:tc>
        <w:tc>
          <w:tcPr>
            <w:tcW w:w="1531" w:type="dxa"/>
            <w:tcBorders>
              <w:top w:val="nil"/>
              <w:left w:val="nil"/>
              <w:bottom w:val="double" w:sz="2" w:space="0" w:color="auto"/>
              <w:right w:val="nil"/>
            </w:tcBorders>
            <w:shd w:val="clear" w:color="auto" w:fill="FFFFFF"/>
            <w:vAlign w:val="bottom"/>
          </w:tcPr>
          <w:p w14:paraId="293EDE9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433</w:t>
            </w:r>
          </w:p>
        </w:tc>
      </w:tr>
    </w:tbl>
    <w:p w14:paraId="52C9A1C5"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84"/>
        <w:gridCol w:w="5119"/>
        <w:gridCol w:w="567"/>
        <w:gridCol w:w="1531"/>
        <w:gridCol w:w="1533"/>
      </w:tblGrid>
      <w:tr w:rsidR="002575C6" w14:paraId="3D71AA2C" w14:textId="77777777">
        <w:tblPrEx>
          <w:tblCellMar>
            <w:top w:w="0" w:type="dxa"/>
            <w:left w:w="0" w:type="dxa"/>
            <w:bottom w:w="0" w:type="dxa"/>
            <w:right w:w="0" w:type="dxa"/>
          </w:tblCellMar>
        </w:tblPrEx>
        <w:tc>
          <w:tcPr>
            <w:tcW w:w="5403" w:type="dxa"/>
            <w:gridSpan w:val="2"/>
            <w:tcBorders>
              <w:top w:val="nil"/>
              <w:left w:val="nil"/>
              <w:bottom w:val="nil"/>
              <w:right w:val="nil"/>
            </w:tcBorders>
            <w:shd w:val="clear" w:color="auto" w:fill="FFFFFF"/>
            <w:vAlign w:val="bottom"/>
          </w:tcPr>
          <w:p w14:paraId="1C4FE1CE"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3F964A24"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3A72AA9"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3F1C583B"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704435AF" w14:textId="77777777">
        <w:tblPrEx>
          <w:tblCellMar>
            <w:top w:w="0" w:type="dxa"/>
            <w:left w:w="0" w:type="dxa"/>
            <w:bottom w:w="0" w:type="dxa"/>
            <w:right w:w="0" w:type="dxa"/>
          </w:tblCellMar>
        </w:tblPrEx>
        <w:tc>
          <w:tcPr>
            <w:tcW w:w="5403" w:type="dxa"/>
            <w:gridSpan w:val="2"/>
            <w:tcBorders>
              <w:top w:val="nil"/>
              <w:left w:val="nil"/>
              <w:bottom w:val="nil"/>
              <w:right w:val="nil"/>
            </w:tcBorders>
            <w:shd w:val="clear" w:color="auto" w:fill="FFFFFF"/>
            <w:vAlign w:val="bottom"/>
          </w:tcPr>
          <w:p w14:paraId="4C9A328D"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52921986"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49E9FC66"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3084C347"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5933A6E6" w14:textId="77777777">
        <w:tblPrEx>
          <w:tblCellMar>
            <w:top w:w="0" w:type="dxa"/>
            <w:left w:w="0" w:type="dxa"/>
            <w:bottom w:w="0" w:type="dxa"/>
            <w:right w:w="0" w:type="dxa"/>
          </w:tblCellMar>
        </w:tblPrEx>
        <w:tc>
          <w:tcPr>
            <w:tcW w:w="5403" w:type="dxa"/>
            <w:gridSpan w:val="2"/>
            <w:tcBorders>
              <w:top w:val="nil"/>
              <w:left w:val="nil"/>
              <w:bottom w:val="nil"/>
              <w:right w:val="nil"/>
            </w:tcBorders>
            <w:shd w:val="clear" w:color="auto" w:fill="FFFFFF"/>
            <w:vAlign w:val="bottom"/>
          </w:tcPr>
          <w:p w14:paraId="03CC71F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Donations expenses</w:t>
            </w:r>
          </w:p>
        </w:tc>
        <w:tc>
          <w:tcPr>
            <w:tcW w:w="567" w:type="dxa"/>
            <w:tcBorders>
              <w:top w:val="nil"/>
              <w:left w:val="nil"/>
              <w:bottom w:val="nil"/>
              <w:right w:val="nil"/>
            </w:tcBorders>
            <w:shd w:val="clear" w:color="auto" w:fill="FFFFFF"/>
            <w:vAlign w:val="bottom"/>
          </w:tcPr>
          <w:p w14:paraId="553BC54D"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710CEEE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289</w:t>
            </w:r>
          </w:p>
        </w:tc>
        <w:tc>
          <w:tcPr>
            <w:tcW w:w="1531" w:type="dxa"/>
            <w:tcBorders>
              <w:top w:val="nil"/>
              <w:left w:val="nil"/>
              <w:bottom w:val="double" w:sz="2" w:space="0" w:color="auto"/>
              <w:right w:val="nil"/>
            </w:tcBorders>
            <w:shd w:val="clear" w:color="auto" w:fill="FFFFFF"/>
            <w:vAlign w:val="bottom"/>
          </w:tcPr>
          <w:p w14:paraId="18358B7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289</w:t>
            </w:r>
          </w:p>
        </w:tc>
      </w:tr>
      <w:tr w:rsidR="002575C6" w14:paraId="6B410429"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2D96A384" w14:textId="77777777" w:rsidR="002575C6" w:rsidRDefault="002575C6">
            <w:pPr>
              <w:autoSpaceDE w:val="0"/>
              <w:autoSpaceDN w:val="0"/>
              <w:adjustRightInd w:val="0"/>
              <w:spacing w:before="726" w:after="100" w:line="240" w:lineRule="auto"/>
              <w:jc w:val="both"/>
              <w:rPr>
                <w:rFonts w:ascii="Times New Roman" w:hAnsi="Times New Roman"/>
                <w:kern w:val="0"/>
              </w:rPr>
            </w:pPr>
            <w:r>
              <w:rPr>
                <w:rFonts w:ascii="Arial" w:hAnsi="Arial" w:cs="Arial"/>
                <w:b/>
                <w:bCs/>
                <w:kern w:val="0"/>
                <w:sz w:val="20"/>
                <w:szCs w:val="20"/>
              </w:rPr>
              <w:t>b)</w:t>
            </w:r>
          </w:p>
        </w:tc>
        <w:tc>
          <w:tcPr>
            <w:tcW w:w="8750" w:type="dxa"/>
            <w:gridSpan w:val="4"/>
            <w:tcBorders>
              <w:top w:val="nil"/>
              <w:left w:val="nil"/>
              <w:bottom w:val="nil"/>
              <w:right w:val="nil"/>
            </w:tcBorders>
            <w:shd w:val="clear" w:color="auto" w:fill="FFFFFF"/>
            <w:vAlign w:val="center"/>
          </w:tcPr>
          <w:p w14:paraId="070BD041"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Costs of trading activities</w:t>
            </w:r>
          </w:p>
        </w:tc>
      </w:tr>
      <w:tr w:rsidR="002575C6" w14:paraId="15ABA269" w14:textId="77777777">
        <w:tblPrEx>
          <w:tblCellMar>
            <w:top w:w="0" w:type="dxa"/>
            <w:left w:w="0" w:type="dxa"/>
            <w:bottom w:w="0" w:type="dxa"/>
            <w:right w:w="0" w:type="dxa"/>
          </w:tblCellMar>
        </w:tblPrEx>
        <w:tc>
          <w:tcPr>
            <w:tcW w:w="5403" w:type="dxa"/>
            <w:gridSpan w:val="2"/>
            <w:tcBorders>
              <w:top w:val="nil"/>
              <w:left w:val="nil"/>
              <w:bottom w:val="nil"/>
              <w:right w:val="nil"/>
            </w:tcBorders>
            <w:shd w:val="clear" w:color="auto" w:fill="FFFFFF"/>
            <w:vAlign w:val="bottom"/>
          </w:tcPr>
          <w:p w14:paraId="38497BBA"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761C5886"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387CF13C"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2C3F5BA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7ABD39A0" w14:textId="77777777">
        <w:tblPrEx>
          <w:tblCellMar>
            <w:top w:w="0" w:type="dxa"/>
            <w:left w:w="0" w:type="dxa"/>
            <w:bottom w:w="0" w:type="dxa"/>
            <w:right w:w="0" w:type="dxa"/>
          </w:tblCellMar>
        </w:tblPrEx>
        <w:tc>
          <w:tcPr>
            <w:tcW w:w="5403" w:type="dxa"/>
            <w:gridSpan w:val="2"/>
            <w:tcBorders>
              <w:top w:val="nil"/>
              <w:left w:val="nil"/>
              <w:bottom w:val="nil"/>
              <w:right w:val="nil"/>
            </w:tcBorders>
            <w:shd w:val="clear" w:color="auto" w:fill="FFFFFF"/>
            <w:vAlign w:val="bottom"/>
          </w:tcPr>
          <w:p w14:paraId="748244F9"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449CF274"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40E187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3BCE7722"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064C29D7" w14:textId="77777777">
        <w:tblPrEx>
          <w:tblCellMar>
            <w:top w:w="0" w:type="dxa"/>
            <w:left w:w="0" w:type="dxa"/>
            <w:bottom w:w="0" w:type="dxa"/>
            <w:right w:w="0" w:type="dxa"/>
          </w:tblCellMar>
        </w:tblPrEx>
        <w:tc>
          <w:tcPr>
            <w:tcW w:w="5403" w:type="dxa"/>
            <w:gridSpan w:val="2"/>
            <w:tcBorders>
              <w:top w:val="nil"/>
              <w:left w:val="nil"/>
              <w:bottom w:val="nil"/>
              <w:right w:val="nil"/>
            </w:tcBorders>
            <w:shd w:val="clear" w:color="auto" w:fill="FFFFFF"/>
            <w:vAlign w:val="bottom"/>
          </w:tcPr>
          <w:p w14:paraId="4858AD01"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trading activities</w:t>
            </w:r>
          </w:p>
        </w:tc>
        <w:tc>
          <w:tcPr>
            <w:tcW w:w="567" w:type="dxa"/>
            <w:tcBorders>
              <w:top w:val="nil"/>
              <w:left w:val="nil"/>
              <w:bottom w:val="nil"/>
              <w:right w:val="nil"/>
            </w:tcBorders>
            <w:shd w:val="clear" w:color="auto" w:fill="FFFFFF"/>
            <w:vAlign w:val="bottom"/>
          </w:tcPr>
          <w:p w14:paraId="0CF1DF3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360C673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1,486</w:t>
            </w:r>
          </w:p>
        </w:tc>
        <w:tc>
          <w:tcPr>
            <w:tcW w:w="1531" w:type="dxa"/>
            <w:tcBorders>
              <w:top w:val="nil"/>
              <w:left w:val="nil"/>
              <w:bottom w:val="double" w:sz="2" w:space="0" w:color="auto"/>
              <w:right w:val="nil"/>
            </w:tcBorders>
            <w:shd w:val="clear" w:color="auto" w:fill="FFFFFF"/>
            <w:vAlign w:val="bottom"/>
          </w:tcPr>
          <w:p w14:paraId="14E091F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1,486</w:t>
            </w:r>
          </w:p>
        </w:tc>
      </w:tr>
    </w:tbl>
    <w:p w14:paraId="32EDDBAC"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5403"/>
        <w:gridCol w:w="567"/>
        <w:gridCol w:w="1531"/>
        <w:gridCol w:w="1531"/>
      </w:tblGrid>
      <w:tr w:rsidR="002575C6" w14:paraId="1E18292D"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6A1122A9"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2E6B8AAF"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6EB41484"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0D840DF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4AB8FEC4"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1FF06D87"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65A6A72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4566D46A"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14EFB32A"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3F80E5A0" w14:textId="77777777">
        <w:tblPrEx>
          <w:tblCellMar>
            <w:top w:w="0" w:type="dxa"/>
            <w:left w:w="0" w:type="dxa"/>
            <w:bottom w:w="0" w:type="dxa"/>
            <w:right w:w="0" w:type="dxa"/>
          </w:tblCellMar>
        </w:tblPrEx>
        <w:tc>
          <w:tcPr>
            <w:tcW w:w="5403" w:type="dxa"/>
            <w:tcBorders>
              <w:top w:val="nil"/>
              <w:left w:val="nil"/>
              <w:bottom w:val="nil"/>
              <w:right w:val="nil"/>
            </w:tcBorders>
            <w:shd w:val="clear" w:color="auto" w:fill="FFFFFF"/>
            <w:vAlign w:val="bottom"/>
          </w:tcPr>
          <w:p w14:paraId="36127AF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trading activities</w:t>
            </w:r>
          </w:p>
        </w:tc>
        <w:tc>
          <w:tcPr>
            <w:tcW w:w="567" w:type="dxa"/>
            <w:tcBorders>
              <w:top w:val="nil"/>
              <w:left w:val="nil"/>
              <w:bottom w:val="nil"/>
              <w:right w:val="nil"/>
            </w:tcBorders>
            <w:shd w:val="clear" w:color="auto" w:fill="FFFFFF"/>
            <w:vAlign w:val="bottom"/>
          </w:tcPr>
          <w:p w14:paraId="7E0561A6"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2F80156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805</w:t>
            </w:r>
          </w:p>
        </w:tc>
        <w:tc>
          <w:tcPr>
            <w:tcW w:w="1531" w:type="dxa"/>
            <w:tcBorders>
              <w:top w:val="nil"/>
              <w:left w:val="nil"/>
              <w:bottom w:val="double" w:sz="2" w:space="0" w:color="auto"/>
              <w:right w:val="nil"/>
            </w:tcBorders>
            <w:shd w:val="clear" w:color="auto" w:fill="FFFFFF"/>
            <w:vAlign w:val="bottom"/>
          </w:tcPr>
          <w:p w14:paraId="5FC263F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805</w:t>
            </w:r>
          </w:p>
        </w:tc>
      </w:tr>
    </w:tbl>
    <w:p w14:paraId="4EF5F321"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9"/>
          <w:pgSz w:w="11909" w:h="16834"/>
          <w:pgMar w:top="1440" w:right="1440" w:bottom="1440" w:left="1440" w:header="720" w:footer="720" w:gutter="0"/>
          <w:cols w:space="720"/>
          <w:noEndnote/>
        </w:sectPr>
      </w:pPr>
    </w:p>
    <w:p w14:paraId="4C7D282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787B5BD4"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3020"/>
        <w:gridCol w:w="1134"/>
        <w:gridCol w:w="1531"/>
        <w:gridCol w:w="1531"/>
        <w:gridCol w:w="1534"/>
      </w:tblGrid>
      <w:tr w:rsidR="002575C6" w14:paraId="6A997DAE"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2F7EBC2B"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8</w:t>
            </w:r>
          </w:p>
        </w:tc>
        <w:tc>
          <w:tcPr>
            <w:tcW w:w="8750" w:type="dxa"/>
            <w:gridSpan w:val="5"/>
            <w:tcBorders>
              <w:top w:val="nil"/>
              <w:left w:val="nil"/>
              <w:bottom w:val="nil"/>
              <w:right w:val="nil"/>
            </w:tcBorders>
            <w:shd w:val="clear" w:color="auto" w:fill="FFFFFF"/>
            <w:vAlign w:val="center"/>
          </w:tcPr>
          <w:p w14:paraId="2C0583AE"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Expenditure on charitable activities</w:t>
            </w:r>
          </w:p>
        </w:tc>
      </w:tr>
      <w:tr w:rsidR="002575C6" w14:paraId="68F8B076" w14:textId="77777777">
        <w:tblPrEx>
          <w:tblCellMar>
            <w:top w:w="0" w:type="dxa"/>
            <w:left w:w="0" w:type="dxa"/>
            <w:bottom w:w="0" w:type="dxa"/>
            <w:right w:w="0" w:type="dxa"/>
          </w:tblCellMar>
        </w:tblPrEx>
        <w:tc>
          <w:tcPr>
            <w:tcW w:w="3304" w:type="dxa"/>
            <w:gridSpan w:val="2"/>
            <w:tcBorders>
              <w:top w:val="nil"/>
              <w:left w:val="nil"/>
              <w:bottom w:val="nil"/>
              <w:right w:val="nil"/>
            </w:tcBorders>
            <w:shd w:val="clear" w:color="auto" w:fill="FFFFFF"/>
            <w:vAlign w:val="bottom"/>
          </w:tcPr>
          <w:p w14:paraId="1D776364" w14:textId="77777777" w:rsidR="002575C6" w:rsidRDefault="002575C6">
            <w:pPr>
              <w:autoSpaceDE w:val="0"/>
              <w:autoSpaceDN w:val="0"/>
              <w:adjustRightInd w:val="0"/>
              <w:spacing w:after="0" w:line="240" w:lineRule="auto"/>
              <w:rPr>
                <w:rFonts w:ascii="Times New Roman" w:hAnsi="Times New Roman"/>
                <w:kern w:val="0"/>
              </w:rPr>
            </w:pPr>
          </w:p>
        </w:tc>
        <w:tc>
          <w:tcPr>
            <w:tcW w:w="1134" w:type="dxa"/>
            <w:tcBorders>
              <w:top w:val="nil"/>
              <w:left w:val="nil"/>
              <w:bottom w:val="nil"/>
              <w:right w:val="nil"/>
            </w:tcBorders>
            <w:shd w:val="clear" w:color="auto" w:fill="FFFFFF"/>
            <w:vAlign w:val="bottom"/>
          </w:tcPr>
          <w:p w14:paraId="082CAB6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34B7569F"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7882D5F1"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Restricted</w:t>
            </w:r>
          </w:p>
        </w:tc>
        <w:tc>
          <w:tcPr>
            <w:tcW w:w="1531" w:type="dxa"/>
            <w:tcBorders>
              <w:top w:val="nil"/>
              <w:left w:val="nil"/>
              <w:bottom w:val="nil"/>
              <w:right w:val="nil"/>
            </w:tcBorders>
            <w:shd w:val="clear" w:color="auto" w:fill="FFFFFF"/>
            <w:vAlign w:val="bottom"/>
          </w:tcPr>
          <w:p w14:paraId="4E5689F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37EA34DC" w14:textId="77777777">
        <w:tblPrEx>
          <w:tblCellMar>
            <w:top w:w="0" w:type="dxa"/>
            <w:left w:w="0" w:type="dxa"/>
            <w:bottom w:w="0" w:type="dxa"/>
            <w:right w:w="0" w:type="dxa"/>
          </w:tblCellMar>
        </w:tblPrEx>
        <w:tc>
          <w:tcPr>
            <w:tcW w:w="3304" w:type="dxa"/>
            <w:gridSpan w:val="2"/>
            <w:tcBorders>
              <w:top w:val="nil"/>
              <w:left w:val="nil"/>
              <w:bottom w:val="nil"/>
              <w:right w:val="nil"/>
            </w:tcBorders>
            <w:shd w:val="clear" w:color="auto" w:fill="FFFFFF"/>
            <w:vAlign w:val="bottom"/>
          </w:tcPr>
          <w:p w14:paraId="27967AE2" w14:textId="77777777" w:rsidR="002575C6" w:rsidRDefault="002575C6">
            <w:pPr>
              <w:autoSpaceDE w:val="0"/>
              <w:autoSpaceDN w:val="0"/>
              <w:adjustRightInd w:val="0"/>
              <w:spacing w:after="0" w:line="240" w:lineRule="auto"/>
              <w:rPr>
                <w:rFonts w:ascii="Times New Roman" w:hAnsi="Times New Roman"/>
                <w:kern w:val="0"/>
              </w:rPr>
            </w:pPr>
          </w:p>
        </w:tc>
        <w:tc>
          <w:tcPr>
            <w:tcW w:w="1134" w:type="dxa"/>
            <w:tcBorders>
              <w:top w:val="nil"/>
              <w:left w:val="nil"/>
              <w:bottom w:val="nil"/>
              <w:right w:val="nil"/>
            </w:tcBorders>
            <w:shd w:val="clear" w:color="auto" w:fill="FFFFFF"/>
            <w:vAlign w:val="bottom"/>
          </w:tcPr>
          <w:p w14:paraId="52F4E5AD"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b/>
                <w:bCs/>
                <w:kern w:val="0"/>
                <w:sz w:val="20"/>
                <w:szCs w:val="20"/>
              </w:rPr>
              <w:t>Note</w:t>
            </w:r>
          </w:p>
        </w:tc>
        <w:tc>
          <w:tcPr>
            <w:tcW w:w="1531" w:type="dxa"/>
            <w:tcBorders>
              <w:top w:val="nil"/>
              <w:left w:val="nil"/>
              <w:bottom w:val="nil"/>
              <w:right w:val="nil"/>
            </w:tcBorders>
            <w:shd w:val="clear" w:color="auto" w:fill="FFFFFF"/>
            <w:vAlign w:val="bottom"/>
          </w:tcPr>
          <w:p w14:paraId="181BF2D2"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033F150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funds</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2616132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5F3A16FD" w14:textId="77777777">
        <w:tblPrEx>
          <w:tblCellMar>
            <w:top w:w="0" w:type="dxa"/>
            <w:left w:w="0" w:type="dxa"/>
            <w:bottom w:w="0" w:type="dxa"/>
            <w:right w:w="0" w:type="dxa"/>
          </w:tblCellMar>
        </w:tblPrEx>
        <w:tc>
          <w:tcPr>
            <w:tcW w:w="3304" w:type="dxa"/>
            <w:gridSpan w:val="2"/>
            <w:tcBorders>
              <w:top w:val="nil"/>
              <w:left w:val="nil"/>
              <w:bottom w:val="nil"/>
              <w:right w:val="nil"/>
            </w:tcBorders>
            <w:shd w:val="clear" w:color="auto" w:fill="FFFFFF"/>
            <w:vAlign w:val="bottom"/>
          </w:tcPr>
          <w:p w14:paraId="2EFABD68"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Charitable activities</w:t>
            </w:r>
          </w:p>
        </w:tc>
        <w:tc>
          <w:tcPr>
            <w:tcW w:w="1134" w:type="dxa"/>
            <w:tcBorders>
              <w:top w:val="nil"/>
              <w:left w:val="nil"/>
              <w:bottom w:val="nil"/>
              <w:right w:val="nil"/>
            </w:tcBorders>
            <w:shd w:val="clear" w:color="auto" w:fill="FFFFFF"/>
            <w:vAlign w:val="bottom"/>
          </w:tcPr>
          <w:p w14:paraId="6440FE52"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2C696AD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242,080</w:t>
            </w:r>
          </w:p>
        </w:tc>
        <w:tc>
          <w:tcPr>
            <w:tcW w:w="1531" w:type="dxa"/>
            <w:tcBorders>
              <w:top w:val="nil"/>
              <w:left w:val="nil"/>
              <w:bottom w:val="nil"/>
              <w:right w:val="nil"/>
            </w:tcBorders>
            <w:shd w:val="clear" w:color="auto" w:fill="FFFFFF"/>
            <w:vAlign w:val="bottom"/>
          </w:tcPr>
          <w:p w14:paraId="6334151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7,140</w:t>
            </w:r>
          </w:p>
        </w:tc>
        <w:tc>
          <w:tcPr>
            <w:tcW w:w="1531" w:type="dxa"/>
            <w:tcBorders>
              <w:top w:val="nil"/>
              <w:left w:val="nil"/>
              <w:bottom w:val="nil"/>
              <w:right w:val="nil"/>
            </w:tcBorders>
            <w:shd w:val="clear" w:color="auto" w:fill="FFFFFF"/>
            <w:vAlign w:val="bottom"/>
          </w:tcPr>
          <w:p w14:paraId="6019F78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249,220</w:t>
            </w:r>
          </w:p>
        </w:tc>
      </w:tr>
      <w:tr w:rsidR="002575C6" w14:paraId="4DB647E5" w14:textId="77777777">
        <w:tblPrEx>
          <w:tblCellMar>
            <w:top w:w="0" w:type="dxa"/>
            <w:left w:w="0" w:type="dxa"/>
            <w:bottom w:w="0" w:type="dxa"/>
            <w:right w:w="0" w:type="dxa"/>
          </w:tblCellMar>
        </w:tblPrEx>
        <w:tc>
          <w:tcPr>
            <w:tcW w:w="3304" w:type="dxa"/>
            <w:gridSpan w:val="2"/>
            <w:tcBorders>
              <w:top w:val="nil"/>
              <w:left w:val="nil"/>
              <w:bottom w:val="nil"/>
              <w:right w:val="nil"/>
            </w:tcBorders>
            <w:shd w:val="clear" w:color="auto" w:fill="FFFFFF"/>
            <w:vAlign w:val="bottom"/>
          </w:tcPr>
          <w:p w14:paraId="5290C80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Allocated support costs</w:t>
            </w:r>
          </w:p>
        </w:tc>
        <w:tc>
          <w:tcPr>
            <w:tcW w:w="1134" w:type="dxa"/>
            <w:tcBorders>
              <w:top w:val="nil"/>
              <w:left w:val="nil"/>
              <w:bottom w:val="nil"/>
              <w:right w:val="nil"/>
            </w:tcBorders>
            <w:shd w:val="clear" w:color="auto" w:fill="FFFFFF"/>
            <w:vAlign w:val="bottom"/>
          </w:tcPr>
          <w:p w14:paraId="1757299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9</w:t>
            </w:r>
          </w:p>
        </w:tc>
        <w:tc>
          <w:tcPr>
            <w:tcW w:w="1531" w:type="dxa"/>
            <w:tcBorders>
              <w:top w:val="nil"/>
              <w:left w:val="nil"/>
              <w:bottom w:val="single" w:sz="2" w:space="0" w:color="auto"/>
              <w:right w:val="nil"/>
            </w:tcBorders>
            <w:shd w:val="clear" w:color="auto" w:fill="FFFFFF"/>
            <w:vAlign w:val="bottom"/>
          </w:tcPr>
          <w:p w14:paraId="05E22B7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43,537</w:t>
            </w:r>
          </w:p>
        </w:tc>
        <w:tc>
          <w:tcPr>
            <w:tcW w:w="1531" w:type="dxa"/>
            <w:tcBorders>
              <w:top w:val="nil"/>
              <w:left w:val="nil"/>
              <w:bottom w:val="single" w:sz="2" w:space="0" w:color="auto"/>
              <w:right w:val="nil"/>
            </w:tcBorders>
            <w:shd w:val="clear" w:color="auto" w:fill="FFFFFF"/>
            <w:vAlign w:val="bottom"/>
          </w:tcPr>
          <w:p w14:paraId="50A9556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single" w:sz="2" w:space="0" w:color="auto"/>
              <w:right w:val="nil"/>
            </w:tcBorders>
            <w:shd w:val="clear" w:color="auto" w:fill="FFFFFF"/>
            <w:vAlign w:val="bottom"/>
          </w:tcPr>
          <w:p w14:paraId="0B3D677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43,537</w:t>
            </w:r>
          </w:p>
        </w:tc>
      </w:tr>
      <w:tr w:rsidR="002575C6" w14:paraId="50DFC2C0" w14:textId="77777777">
        <w:tblPrEx>
          <w:tblCellMar>
            <w:top w:w="0" w:type="dxa"/>
            <w:left w:w="0" w:type="dxa"/>
            <w:bottom w:w="0" w:type="dxa"/>
            <w:right w:w="0" w:type="dxa"/>
          </w:tblCellMar>
        </w:tblPrEx>
        <w:tc>
          <w:tcPr>
            <w:tcW w:w="3304" w:type="dxa"/>
            <w:gridSpan w:val="2"/>
            <w:tcBorders>
              <w:top w:val="nil"/>
              <w:left w:val="nil"/>
              <w:bottom w:val="nil"/>
              <w:right w:val="nil"/>
            </w:tcBorders>
            <w:shd w:val="clear" w:color="auto" w:fill="FFFFFF"/>
            <w:vAlign w:val="bottom"/>
          </w:tcPr>
          <w:p w14:paraId="64F100F8" w14:textId="77777777" w:rsidR="002575C6" w:rsidRDefault="002575C6">
            <w:pPr>
              <w:autoSpaceDE w:val="0"/>
              <w:autoSpaceDN w:val="0"/>
              <w:adjustRightInd w:val="0"/>
              <w:spacing w:after="0" w:line="240" w:lineRule="auto"/>
              <w:rPr>
                <w:rFonts w:ascii="Times New Roman" w:hAnsi="Times New Roman"/>
                <w:kern w:val="0"/>
              </w:rPr>
            </w:pPr>
          </w:p>
        </w:tc>
        <w:tc>
          <w:tcPr>
            <w:tcW w:w="1134" w:type="dxa"/>
            <w:tcBorders>
              <w:top w:val="nil"/>
              <w:left w:val="nil"/>
              <w:bottom w:val="nil"/>
              <w:right w:val="nil"/>
            </w:tcBorders>
            <w:shd w:val="clear" w:color="auto" w:fill="FFFFFF"/>
            <w:vAlign w:val="bottom"/>
          </w:tcPr>
          <w:p w14:paraId="0CBF0FB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18CA053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285,617</w:t>
            </w:r>
          </w:p>
        </w:tc>
        <w:tc>
          <w:tcPr>
            <w:tcW w:w="1531" w:type="dxa"/>
            <w:tcBorders>
              <w:top w:val="nil"/>
              <w:left w:val="nil"/>
              <w:bottom w:val="double" w:sz="2" w:space="0" w:color="auto"/>
              <w:right w:val="nil"/>
            </w:tcBorders>
            <w:shd w:val="clear" w:color="auto" w:fill="FFFFFF"/>
            <w:vAlign w:val="bottom"/>
          </w:tcPr>
          <w:p w14:paraId="1936075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7,140</w:t>
            </w:r>
          </w:p>
        </w:tc>
        <w:tc>
          <w:tcPr>
            <w:tcW w:w="1531" w:type="dxa"/>
            <w:tcBorders>
              <w:top w:val="nil"/>
              <w:left w:val="nil"/>
              <w:bottom w:val="double" w:sz="2" w:space="0" w:color="auto"/>
              <w:right w:val="nil"/>
            </w:tcBorders>
            <w:shd w:val="clear" w:color="auto" w:fill="FFFFFF"/>
            <w:vAlign w:val="bottom"/>
          </w:tcPr>
          <w:p w14:paraId="48C5371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292,757</w:t>
            </w:r>
          </w:p>
        </w:tc>
      </w:tr>
    </w:tbl>
    <w:p w14:paraId="333F2594"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3304"/>
        <w:gridCol w:w="1134"/>
        <w:gridCol w:w="1531"/>
        <w:gridCol w:w="1531"/>
        <w:gridCol w:w="1531"/>
      </w:tblGrid>
      <w:tr w:rsidR="002575C6" w14:paraId="7E3250B4" w14:textId="77777777">
        <w:tblPrEx>
          <w:tblCellMar>
            <w:top w:w="0" w:type="dxa"/>
            <w:left w:w="0" w:type="dxa"/>
            <w:bottom w:w="0" w:type="dxa"/>
            <w:right w:w="0" w:type="dxa"/>
          </w:tblCellMar>
        </w:tblPrEx>
        <w:tc>
          <w:tcPr>
            <w:tcW w:w="3304" w:type="dxa"/>
            <w:tcBorders>
              <w:top w:val="nil"/>
              <w:left w:val="nil"/>
              <w:bottom w:val="nil"/>
              <w:right w:val="nil"/>
            </w:tcBorders>
            <w:shd w:val="clear" w:color="auto" w:fill="FFFFFF"/>
            <w:vAlign w:val="bottom"/>
          </w:tcPr>
          <w:p w14:paraId="189172D7" w14:textId="77777777" w:rsidR="002575C6" w:rsidRDefault="002575C6">
            <w:pPr>
              <w:autoSpaceDE w:val="0"/>
              <w:autoSpaceDN w:val="0"/>
              <w:adjustRightInd w:val="0"/>
              <w:spacing w:after="0" w:line="240" w:lineRule="auto"/>
              <w:rPr>
                <w:rFonts w:ascii="Times New Roman" w:hAnsi="Times New Roman"/>
                <w:kern w:val="0"/>
              </w:rPr>
            </w:pPr>
          </w:p>
        </w:tc>
        <w:tc>
          <w:tcPr>
            <w:tcW w:w="1134" w:type="dxa"/>
            <w:tcBorders>
              <w:top w:val="nil"/>
              <w:left w:val="nil"/>
              <w:bottom w:val="nil"/>
              <w:right w:val="nil"/>
            </w:tcBorders>
            <w:shd w:val="clear" w:color="auto" w:fill="FFFFFF"/>
            <w:vAlign w:val="bottom"/>
          </w:tcPr>
          <w:p w14:paraId="1EEF4DF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D8DD3FE"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250A8F04"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Restricted</w:t>
            </w:r>
          </w:p>
        </w:tc>
        <w:tc>
          <w:tcPr>
            <w:tcW w:w="1531" w:type="dxa"/>
            <w:tcBorders>
              <w:top w:val="nil"/>
              <w:left w:val="nil"/>
              <w:bottom w:val="nil"/>
              <w:right w:val="nil"/>
            </w:tcBorders>
            <w:shd w:val="clear" w:color="auto" w:fill="FFFFFF"/>
            <w:vAlign w:val="bottom"/>
          </w:tcPr>
          <w:p w14:paraId="211D5AD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735E6D44" w14:textId="77777777">
        <w:tblPrEx>
          <w:tblCellMar>
            <w:top w:w="0" w:type="dxa"/>
            <w:left w:w="0" w:type="dxa"/>
            <w:bottom w:w="0" w:type="dxa"/>
            <w:right w:w="0" w:type="dxa"/>
          </w:tblCellMar>
        </w:tblPrEx>
        <w:tc>
          <w:tcPr>
            <w:tcW w:w="3304" w:type="dxa"/>
            <w:tcBorders>
              <w:top w:val="nil"/>
              <w:left w:val="nil"/>
              <w:bottom w:val="nil"/>
              <w:right w:val="nil"/>
            </w:tcBorders>
            <w:shd w:val="clear" w:color="auto" w:fill="FFFFFF"/>
            <w:vAlign w:val="bottom"/>
          </w:tcPr>
          <w:p w14:paraId="6B4EF37D" w14:textId="77777777" w:rsidR="002575C6" w:rsidRDefault="002575C6">
            <w:pPr>
              <w:autoSpaceDE w:val="0"/>
              <w:autoSpaceDN w:val="0"/>
              <w:adjustRightInd w:val="0"/>
              <w:spacing w:after="0" w:line="240" w:lineRule="auto"/>
              <w:rPr>
                <w:rFonts w:ascii="Times New Roman" w:hAnsi="Times New Roman"/>
                <w:kern w:val="0"/>
              </w:rPr>
            </w:pPr>
          </w:p>
        </w:tc>
        <w:tc>
          <w:tcPr>
            <w:tcW w:w="1134" w:type="dxa"/>
            <w:tcBorders>
              <w:top w:val="nil"/>
              <w:left w:val="nil"/>
              <w:bottom w:val="nil"/>
              <w:right w:val="nil"/>
            </w:tcBorders>
            <w:shd w:val="clear" w:color="auto" w:fill="FFFFFF"/>
            <w:vAlign w:val="bottom"/>
          </w:tcPr>
          <w:p w14:paraId="4EDFE40B"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b/>
                <w:bCs/>
                <w:kern w:val="0"/>
                <w:sz w:val="20"/>
                <w:szCs w:val="20"/>
              </w:rPr>
              <w:t>Note</w:t>
            </w:r>
          </w:p>
        </w:tc>
        <w:tc>
          <w:tcPr>
            <w:tcW w:w="1531" w:type="dxa"/>
            <w:tcBorders>
              <w:top w:val="nil"/>
              <w:left w:val="nil"/>
              <w:bottom w:val="nil"/>
              <w:right w:val="nil"/>
            </w:tcBorders>
            <w:shd w:val="clear" w:color="auto" w:fill="FFFFFF"/>
            <w:vAlign w:val="bottom"/>
          </w:tcPr>
          <w:p w14:paraId="7E3C478B"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69919F9F"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funds</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12A587FB"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67FD8790" w14:textId="77777777">
        <w:tblPrEx>
          <w:tblCellMar>
            <w:top w:w="0" w:type="dxa"/>
            <w:left w:w="0" w:type="dxa"/>
            <w:bottom w:w="0" w:type="dxa"/>
            <w:right w:w="0" w:type="dxa"/>
          </w:tblCellMar>
        </w:tblPrEx>
        <w:tc>
          <w:tcPr>
            <w:tcW w:w="3304" w:type="dxa"/>
            <w:tcBorders>
              <w:top w:val="nil"/>
              <w:left w:val="nil"/>
              <w:bottom w:val="nil"/>
              <w:right w:val="nil"/>
            </w:tcBorders>
            <w:shd w:val="clear" w:color="auto" w:fill="FFFFFF"/>
            <w:vAlign w:val="bottom"/>
          </w:tcPr>
          <w:p w14:paraId="0892B5A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Charitable activities</w:t>
            </w:r>
          </w:p>
        </w:tc>
        <w:tc>
          <w:tcPr>
            <w:tcW w:w="1134" w:type="dxa"/>
            <w:tcBorders>
              <w:top w:val="nil"/>
              <w:left w:val="nil"/>
              <w:bottom w:val="nil"/>
              <w:right w:val="nil"/>
            </w:tcBorders>
            <w:shd w:val="clear" w:color="auto" w:fill="FFFFFF"/>
            <w:vAlign w:val="bottom"/>
          </w:tcPr>
          <w:p w14:paraId="7F507DF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4DFC8D6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230,419</w:t>
            </w:r>
          </w:p>
        </w:tc>
        <w:tc>
          <w:tcPr>
            <w:tcW w:w="1531" w:type="dxa"/>
            <w:tcBorders>
              <w:top w:val="nil"/>
              <w:left w:val="nil"/>
              <w:bottom w:val="nil"/>
              <w:right w:val="nil"/>
            </w:tcBorders>
            <w:shd w:val="clear" w:color="auto" w:fill="FFFFFF"/>
            <w:vAlign w:val="bottom"/>
          </w:tcPr>
          <w:p w14:paraId="6CCA404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288</w:t>
            </w:r>
          </w:p>
        </w:tc>
        <w:tc>
          <w:tcPr>
            <w:tcW w:w="1531" w:type="dxa"/>
            <w:tcBorders>
              <w:top w:val="nil"/>
              <w:left w:val="nil"/>
              <w:bottom w:val="nil"/>
              <w:right w:val="nil"/>
            </w:tcBorders>
            <w:shd w:val="clear" w:color="auto" w:fill="FFFFFF"/>
            <w:vAlign w:val="bottom"/>
          </w:tcPr>
          <w:p w14:paraId="2610A7A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230,707</w:t>
            </w:r>
          </w:p>
        </w:tc>
      </w:tr>
      <w:tr w:rsidR="002575C6" w14:paraId="740D4F88" w14:textId="77777777">
        <w:tblPrEx>
          <w:tblCellMar>
            <w:top w:w="0" w:type="dxa"/>
            <w:left w:w="0" w:type="dxa"/>
            <w:bottom w:w="0" w:type="dxa"/>
            <w:right w:w="0" w:type="dxa"/>
          </w:tblCellMar>
        </w:tblPrEx>
        <w:tc>
          <w:tcPr>
            <w:tcW w:w="3304" w:type="dxa"/>
            <w:tcBorders>
              <w:top w:val="nil"/>
              <w:left w:val="nil"/>
              <w:bottom w:val="nil"/>
              <w:right w:val="nil"/>
            </w:tcBorders>
            <w:shd w:val="clear" w:color="auto" w:fill="FFFFFF"/>
            <w:vAlign w:val="bottom"/>
          </w:tcPr>
          <w:p w14:paraId="044698DA"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Allocated support costs</w:t>
            </w:r>
          </w:p>
        </w:tc>
        <w:tc>
          <w:tcPr>
            <w:tcW w:w="1134" w:type="dxa"/>
            <w:tcBorders>
              <w:top w:val="nil"/>
              <w:left w:val="nil"/>
              <w:bottom w:val="nil"/>
              <w:right w:val="nil"/>
            </w:tcBorders>
            <w:shd w:val="clear" w:color="auto" w:fill="FFFFFF"/>
            <w:vAlign w:val="bottom"/>
          </w:tcPr>
          <w:p w14:paraId="23628823"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9</w:t>
            </w:r>
          </w:p>
        </w:tc>
        <w:tc>
          <w:tcPr>
            <w:tcW w:w="1531" w:type="dxa"/>
            <w:tcBorders>
              <w:top w:val="nil"/>
              <w:left w:val="nil"/>
              <w:bottom w:val="single" w:sz="2" w:space="0" w:color="auto"/>
              <w:right w:val="nil"/>
            </w:tcBorders>
            <w:shd w:val="clear" w:color="auto" w:fill="FFFFFF"/>
            <w:vAlign w:val="bottom"/>
          </w:tcPr>
          <w:p w14:paraId="160D6F4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47,365</w:t>
            </w:r>
          </w:p>
        </w:tc>
        <w:tc>
          <w:tcPr>
            <w:tcW w:w="1531" w:type="dxa"/>
            <w:tcBorders>
              <w:top w:val="nil"/>
              <w:left w:val="nil"/>
              <w:bottom w:val="single" w:sz="2" w:space="0" w:color="auto"/>
              <w:right w:val="nil"/>
            </w:tcBorders>
            <w:shd w:val="clear" w:color="auto" w:fill="FFFFFF"/>
            <w:vAlign w:val="bottom"/>
          </w:tcPr>
          <w:p w14:paraId="1C71972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single" w:sz="2" w:space="0" w:color="auto"/>
              <w:right w:val="nil"/>
            </w:tcBorders>
            <w:shd w:val="clear" w:color="auto" w:fill="FFFFFF"/>
            <w:vAlign w:val="bottom"/>
          </w:tcPr>
          <w:p w14:paraId="4CBFC59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47,365</w:t>
            </w:r>
          </w:p>
        </w:tc>
      </w:tr>
      <w:tr w:rsidR="002575C6" w14:paraId="2A4EE832" w14:textId="77777777">
        <w:tblPrEx>
          <w:tblCellMar>
            <w:top w:w="0" w:type="dxa"/>
            <w:left w:w="0" w:type="dxa"/>
            <w:bottom w:w="0" w:type="dxa"/>
            <w:right w:w="0" w:type="dxa"/>
          </w:tblCellMar>
        </w:tblPrEx>
        <w:tc>
          <w:tcPr>
            <w:tcW w:w="3304" w:type="dxa"/>
            <w:tcBorders>
              <w:top w:val="nil"/>
              <w:left w:val="nil"/>
              <w:bottom w:val="nil"/>
              <w:right w:val="nil"/>
            </w:tcBorders>
            <w:shd w:val="clear" w:color="auto" w:fill="FFFFFF"/>
            <w:vAlign w:val="bottom"/>
          </w:tcPr>
          <w:p w14:paraId="3DB10E64" w14:textId="77777777" w:rsidR="002575C6" w:rsidRDefault="002575C6">
            <w:pPr>
              <w:autoSpaceDE w:val="0"/>
              <w:autoSpaceDN w:val="0"/>
              <w:adjustRightInd w:val="0"/>
              <w:spacing w:after="0" w:line="240" w:lineRule="auto"/>
              <w:rPr>
                <w:rFonts w:ascii="Times New Roman" w:hAnsi="Times New Roman"/>
                <w:kern w:val="0"/>
              </w:rPr>
            </w:pPr>
          </w:p>
        </w:tc>
        <w:tc>
          <w:tcPr>
            <w:tcW w:w="1134" w:type="dxa"/>
            <w:tcBorders>
              <w:top w:val="nil"/>
              <w:left w:val="nil"/>
              <w:bottom w:val="nil"/>
              <w:right w:val="nil"/>
            </w:tcBorders>
            <w:shd w:val="clear" w:color="auto" w:fill="FFFFFF"/>
            <w:vAlign w:val="bottom"/>
          </w:tcPr>
          <w:p w14:paraId="4C81E114"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2DA4926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277,784</w:t>
            </w:r>
          </w:p>
        </w:tc>
        <w:tc>
          <w:tcPr>
            <w:tcW w:w="1531" w:type="dxa"/>
            <w:tcBorders>
              <w:top w:val="nil"/>
              <w:left w:val="nil"/>
              <w:bottom w:val="double" w:sz="2" w:space="0" w:color="auto"/>
              <w:right w:val="nil"/>
            </w:tcBorders>
            <w:shd w:val="clear" w:color="auto" w:fill="FFFFFF"/>
            <w:vAlign w:val="bottom"/>
          </w:tcPr>
          <w:p w14:paraId="1D9281D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288</w:t>
            </w:r>
          </w:p>
        </w:tc>
        <w:tc>
          <w:tcPr>
            <w:tcW w:w="1531" w:type="dxa"/>
            <w:tcBorders>
              <w:top w:val="nil"/>
              <w:left w:val="nil"/>
              <w:bottom w:val="double" w:sz="2" w:space="0" w:color="auto"/>
              <w:right w:val="nil"/>
            </w:tcBorders>
            <w:shd w:val="clear" w:color="auto" w:fill="FFFFFF"/>
            <w:vAlign w:val="bottom"/>
          </w:tcPr>
          <w:p w14:paraId="188B126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278,072</w:t>
            </w:r>
          </w:p>
        </w:tc>
      </w:tr>
    </w:tbl>
    <w:p w14:paraId="302E7EA9"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40"/>
          <w:pgSz w:w="11909" w:h="16834"/>
          <w:pgMar w:top="1440" w:right="1440" w:bottom="1440" w:left="1440" w:header="720" w:footer="720" w:gutter="0"/>
          <w:cols w:space="720"/>
          <w:noEndnote/>
        </w:sectPr>
      </w:pPr>
    </w:p>
    <w:p w14:paraId="02BDF197"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BE9D950"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p w14:paraId="6542B964" w14:textId="77777777" w:rsidR="002575C6" w:rsidRDefault="002575C6">
      <w:pPr>
        <w:autoSpaceDE w:val="0"/>
        <w:autoSpaceDN w:val="0"/>
        <w:adjustRightInd w:val="0"/>
        <w:spacing w:before="367" w:after="10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7A45700A"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4BCF0E50"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9</w:t>
            </w:r>
          </w:p>
        </w:tc>
        <w:tc>
          <w:tcPr>
            <w:tcW w:w="8750" w:type="dxa"/>
            <w:tcBorders>
              <w:top w:val="nil"/>
              <w:left w:val="nil"/>
              <w:bottom w:val="nil"/>
              <w:right w:val="nil"/>
            </w:tcBorders>
            <w:shd w:val="clear" w:color="auto" w:fill="FFFFFF"/>
            <w:vAlign w:val="center"/>
          </w:tcPr>
          <w:p w14:paraId="6164FCDC"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Analysis of support costs</w:t>
            </w:r>
          </w:p>
        </w:tc>
      </w:tr>
    </w:tbl>
    <w:p w14:paraId="54E833F5"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Support costs allocated to charitable activities</w:t>
      </w:r>
    </w:p>
    <w:tbl>
      <w:tblPr>
        <w:tblW w:w="0" w:type="auto"/>
        <w:tblLayout w:type="fixed"/>
        <w:tblCellMar>
          <w:left w:w="0" w:type="dxa"/>
          <w:right w:w="0" w:type="dxa"/>
        </w:tblCellMar>
        <w:tblLook w:val="0000" w:firstRow="0" w:lastRow="0" w:firstColumn="0" w:lastColumn="0" w:noHBand="0" w:noVBand="0"/>
      </w:tblPr>
      <w:tblGrid>
        <w:gridCol w:w="284"/>
        <w:gridCol w:w="4325"/>
        <w:gridCol w:w="1475"/>
        <w:gridCol w:w="1475"/>
        <w:gridCol w:w="1475"/>
      </w:tblGrid>
      <w:tr w:rsidR="002575C6" w14:paraId="4CAF2871"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bottom"/>
          </w:tcPr>
          <w:p w14:paraId="6B1E0F73" w14:textId="77777777" w:rsidR="002575C6" w:rsidRDefault="002575C6">
            <w:pPr>
              <w:autoSpaceDE w:val="0"/>
              <w:autoSpaceDN w:val="0"/>
              <w:adjustRightInd w:val="0"/>
              <w:spacing w:after="0" w:line="240" w:lineRule="auto"/>
              <w:rPr>
                <w:rFonts w:ascii="Times New Roman" w:hAnsi="Times New Roman"/>
                <w:kern w:val="0"/>
              </w:rPr>
            </w:pPr>
          </w:p>
        </w:tc>
        <w:tc>
          <w:tcPr>
            <w:tcW w:w="1475" w:type="dxa"/>
            <w:tcBorders>
              <w:top w:val="nil"/>
              <w:left w:val="nil"/>
              <w:bottom w:val="nil"/>
              <w:right w:val="nil"/>
            </w:tcBorders>
            <w:shd w:val="clear" w:color="auto" w:fill="FFFFFF"/>
            <w:vAlign w:val="bottom"/>
          </w:tcPr>
          <w:p w14:paraId="7B43999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b/>
                <w:bCs/>
                <w:kern w:val="0"/>
                <w:sz w:val="20"/>
                <w:szCs w:val="20"/>
              </w:rPr>
              <w:t>Support costs</w:t>
            </w:r>
            <w:r>
              <w:rPr>
                <w:rFonts w:ascii="Arial" w:hAnsi="Arial" w:cs="Arial"/>
                <w:b/>
                <w:bCs/>
                <w:kern w:val="0"/>
                <w:sz w:val="20"/>
                <w:szCs w:val="20"/>
              </w:rPr>
              <w:br/>
              <w:t>£</w:t>
            </w:r>
          </w:p>
        </w:tc>
        <w:tc>
          <w:tcPr>
            <w:tcW w:w="1475" w:type="dxa"/>
            <w:tcBorders>
              <w:top w:val="nil"/>
              <w:left w:val="nil"/>
              <w:bottom w:val="nil"/>
              <w:right w:val="nil"/>
            </w:tcBorders>
            <w:shd w:val="clear" w:color="auto" w:fill="FFFFFF"/>
            <w:vAlign w:val="bottom"/>
          </w:tcPr>
          <w:p w14:paraId="6B6969D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r>
              <w:rPr>
                <w:rFonts w:ascii="Arial" w:hAnsi="Arial" w:cs="Arial"/>
                <w:b/>
                <w:bCs/>
                <w:kern w:val="0"/>
                <w:sz w:val="20"/>
                <w:szCs w:val="20"/>
              </w:rPr>
              <w:br/>
              <w:t>2025</w:t>
            </w:r>
            <w:r>
              <w:rPr>
                <w:rFonts w:ascii="Arial" w:hAnsi="Arial" w:cs="Arial"/>
                <w:b/>
                <w:bCs/>
                <w:kern w:val="0"/>
                <w:sz w:val="20"/>
                <w:szCs w:val="20"/>
              </w:rPr>
              <w:br/>
              <w:t>£</w:t>
            </w:r>
          </w:p>
        </w:tc>
        <w:tc>
          <w:tcPr>
            <w:tcW w:w="1475" w:type="dxa"/>
            <w:tcBorders>
              <w:top w:val="nil"/>
              <w:left w:val="nil"/>
              <w:bottom w:val="nil"/>
              <w:right w:val="nil"/>
            </w:tcBorders>
            <w:shd w:val="clear" w:color="auto" w:fill="FFFFFF"/>
            <w:vAlign w:val="bottom"/>
          </w:tcPr>
          <w:p w14:paraId="460F1BE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r>
              <w:rPr>
                <w:rFonts w:ascii="Arial" w:hAnsi="Arial" w:cs="Arial"/>
                <w:b/>
                <w:bCs/>
                <w:kern w:val="0"/>
                <w:sz w:val="20"/>
                <w:szCs w:val="20"/>
              </w:rPr>
              <w:br/>
              <w:t>2024</w:t>
            </w:r>
            <w:r>
              <w:rPr>
                <w:rFonts w:ascii="Arial" w:hAnsi="Arial" w:cs="Arial"/>
                <w:b/>
                <w:bCs/>
                <w:kern w:val="0"/>
                <w:sz w:val="20"/>
                <w:szCs w:val="20"/>
              </w:rPr>
              <w:br/>
              <w:t>£</w:t>
            </w:r>
          </w:p>
        </w:tc>
      </w:tr>
      <w:tr w:rsidR="002575C6" w14:paraId="71F78AB2"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76AF4C9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Office expenses</w:t>
            </w:r>
          </w:p>
        </w:tc>
        <w:tc>
          <w:tcPr>
            <w:tcW w:w="1475" w:type="dxa"/>
            <w:tcBorders>
              <w:top w:val="nil"/>
              <w:left w:val="nil"/>
              <w:bottom w:val="nil"/>
              <w:right w:val="nil"/>
            </w:tcBorders>
            <w:shd w:val="clear" w:color="auto" w:fill="FFFFFF"/>
            <w:vAlign w:val="bottom"/>
          </w:tcPr>
          <w:p w14:paraId="3E1B33D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6,434</w:t>
            </w:r>
          </w:p>
        </w:tc>
        <w:tc>
          <w:tcPr>
            <w:tcW w:w="1475" w:type="dxa"/>
            <w:tcBorders>
              <w:top w:val="nil"/>
              <w:left w:val="nil"/>
              <w:bottom w:val="nil"/>
              <w:right w:val="nil"/>
            </w:tcBorders>
            <w:shd w:val="clear" w:color="auto" w:fill="FFFFFF"/>
            <w:vAlign w:val="bottom"/>
          </w:tcPr>
          <w:p w14:paraId="34A1D03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6,434</w:t>
            </w:r>
          </w:p>
        </w:tc>
        <w:tc>
          <w:tcPr>
            <w:tcW w:w="1475" w:type="dxa"/>
            <w:tcBorders>
              <w:top w:val="nil"/>
              <w:left w:val="nil"/>
              <w:bottom w:val="nil"/>
              <w:right w:val="nil"/>
            </w:tcBorders>
            <w:shd w:val="clear" w:color="auto" w:fill="FFFFFF"/>
            <w:vAlign w:val="bottom"/>
          </w:tcPr>
          <w:p w14:paraId="3EBCF45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3,110</w:t>
            </w:r>
          </w:p>
        </w:tc>
      </w:tr>
      <w:tr w:rsidR="002575C6" w14:paraId="7843FA3B"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4090B29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Staff costs</w:t>
            </w:r>
          </w:p>
        </w:tc>
        <w:tc>
          <w:tcPr>
            <w:tcW w:w="1475" w:type="dxa"/>
            <w:tcBorders>
              <w:top w:val="nil"/>
              <w:left w:val="nil"/>
              <w:bottom w:val="nil"/>
              <w:right w:val="nil"/>
            </w:tcBorders>
            <w:shd w:val="clear" w:color="auto" w:fill="FFFFFF"/>
            <w:vAlign w:val="bottom"/>
          </w:tcPr>
          <w:p w14:paraId="0A213D3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5,238</w:t>
            </w:r>
          </w:p>
        </w:tc>
        <w:tc>
          <w:tcPr>
            <w:tcW w:w="1475" w:type="dxa"/>
            <w:tcBorders>
              <w:top w:val="nil"/>
              <w:left w:val="nil"/>
              <w:bottom w:val="nil"/>
              <w:right w:val="nil"/>
            </w:tcBorders>
            <w:shd w:val="clear" w:color="auto" w:fill="FFFFFF"/>
            <w:vAlign w:val="bottom"/>
          </w:tcPr>
          <w:p w14:paraId="3836AE2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5,238</w:t>
            </w:r>
          </w:p>
        </w:tc>
        <w:tc>
          <w:tcPr>
            <w:tcW w:w="1475" w:type="dxa"/>
            <w:tcBorders>
              <w:top w:val="nil"/>
              <w:left w:val="nil"/>
              <w:bottom w:val="nil"/>
              <w:right w:val="nil"/>
            </w:tcBorders>
            <w:shd w:val="clear" w:color="auto" w:fill="FFFFFF"/>
            <w:vAlign w:val="bottom"/>
          </w:tcPr>
          <w:p w14:paraId="24C36D4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26,734</w:t>
            </w:r>
          </w:p>
        </w:tc>
      </w:tr>
      <w:tr w:rsidR="002575C6" w14:paraId="0D0723A5"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62E3A789"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Travelling</w:t>
            </w:r>
          </w:p>
        </w:tc>
        <w:tc>
          <w:tcPr>
            <w:tcW w:w="1475" w:type="dxa"/>
            <w:tcBorders>
              <w:top w:val="nil"/>
              <w:left w:val="nil"/>
              <w:bottom w:val="nil"/>
              <w:right w:val="nil"/>
            </w:tcBorders>
            <w:shd w:val="clear" w:color="auto" w:fill="FFFFFF"/>
            <w:vAlign w:val="bottom"/>
          </w:tcPr>
          <w:p w14:paraId="529F279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6,648</w:t>
            </w:r>
          </w:p>
        </w:tc>
        <w:tc>
          <w:tcPr>
            <w:tcW w:w="1475" w:type="dxa"/>
            <w:tcBorders>
              <w:top w:val="nil"/>
              <w:left w:val="nil"/>
              <w:bottom w:val="nil"/>
              <w:right w:val="nil"/>
            </w:tcBorders>
            <w:shd w:val="clear" w:color="auto" w:fill="FFFFFF"/>
            <w:vAlign w:val="bottom"/>
          </w:tcPr>
          <w:p w14:paraId="3EBE5FC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6,648</w:t>
            </w:r>
          </w:p>
        </w:tc>
        <w:tc>
          <w:tcPr>
            <w:tcW w:w="1475" w:type="dxa"/>
            <w:tcBorders>
              <w:top w:val="nil"/>
              <w:left w:val="nil"/>
              <w:bottom w:val="nil"/>
              <w:right w:val="nil"/>
            </w:tcBorders>
            <w:shd w:val="clear" w:color="auto" w:fill="FFFFFF"/>
            <w:vAlign w:val="bottom"/>
          </w:tcPr>
          <w:p w14:paraId="286D880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534</w:t>
            </w:r>
          </w:p>
        </w:tc>
      </w:tr>
      <w:tr w:rsidR="002575C6" w14:paraId="1F9479C1"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65EF3AE5"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Insurance</w:t>
            </w:r>
          </w:p>
        </w:tc>
        <w:tc>
          <w:tcPr>
            <w:tcW w:w="1475" w:type="dxa"/>
            <w:tcBorders>
              <w:top w:val="nil"/>
              <w:left w:val="nil"/>
              <w:bottom w:val="nil"/>
              <w:right w:val="nil"/>
            </w:tcBorders>
            <w:shd w:val="clear" w:color="auto" w:fill="FFFFFF"/>
            <w:vAlign w:val="bottom"/>
          </w:tcPr>
          <w:p w14:paraId="25B347B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1,994</w:t>
            </w:r>
          </w:p>
        </w:tc>
        <w:tc>
          <w:tcPr>
            <w:tcW w:w="1475" w:type="dxa"/>
            <w:tcBorders>
              <w:top w:val="nil"/>
              <w:left w:val="nil"/>
              <w:bottom w:val="nil"/>
              <w:right w:val="nil"/>
            </w:tcBorders>
            <w:shd w:val="clear" w:color="auto" w:fill="FFFFFF"/>
            <w:vAlign w:val="bottom"/>
          </w:tcPr>
          <w:p w14:paraId="69D43B1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1,994</w:t>
            </w:r>
          </w:p>
        </w:tc>
        <w:tc>
          <w:tcPr>
            <w:tcW w:w="1475" w:type="dxa"/>
            <w:tcBorders>
              <w:top w:val="nil"/>
              <w:left w:val="nil"/>
              <w:bottom w:val="nil"/>
              <w:right w:val="nil"/>
            </w:tcBorders>
            <w:shd w:val="clear" w:color="auto" w:fill="FFFFFF"/>
            <w:vAlign w:val="bottom"/>
          </w:tcPr>
          <w:p w14:paraId="0DEB868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495</w:t>
            </w:r>
          </w:p>
        </w:tc>
      </w:tr>
      <w:tr w:rsidR="002575C6" w14:paraId="2AEF438C"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1E0FA7F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Telephone and fax</w:t>
            </w:r>
          </w:p>
        </w:tc>
        <w:tc>
          <w:tcPr>
            <w:tcW w:w="1475" w:type="dxa"/>
            <w:tcBorders>
              <w:top w:val="nil"/>
              <w:left w:val="nil"/>
              <w:bottom w:val="nil"/>
              <w:right w:val="nil"/>
            </w:tcBorders>
            <w:shd w:val="clear" w:color="auto" w:fill="FFFFFF"/>
            <w:vAlign w:val="bottom"/>
          </w:tcPr>
          <w:p w14:paraId="59ACB50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1,480</w:t>
            </w:r>
          </w:p>
        </w:tc>
        <w:tc>
          <w:tcPr>
            <w:tcW w:w="1475" w:type="dxa"/>
            <w:tcBorders>
              <w:top w:val="nil"/>
              <w:left w:val="nil"/>
              <w:bottom w:val="nil"/>
              <w:right w:val="nil"/>
            </w:tcBorders>
            <w:shd w:val="clear" w:color="auto" w:fill="FFFFFF"/>
            <w:vAlign w:val="bottom"/>
          </w:tcPr>
          <w:p w14:paraId="51A9D41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1,480</w:t>
            </w:r>
          </w:p>
        </w:tc>
        <w:tc>
          <w:tcPr>
            <w:tcW w:w="1475" w:type="dxa"/>
            <w:tcBorders>
              <w:top w:val="nil"/>
              <w:left w:val="nil"/>
              <w:bottom w:val="nil"/>
              <w:right w:val="nil"/>
            </w:tcBorders>
            <w:shd w:val="clear" w:color="auto" w:fill="FFFFFF"/>
            <w:vAlign w:val="bottom"/>
          </w:tcPr>
          <w:p w14:paraId="7B3B3F1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822</w:t>
            </w:r>
          </w:p>
        </w:tc>
      </w:tr>
      <w:tr w:rsidR="002575C6" w14:paraId="63521846"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37FF19B7"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 xml:space="preserve">IT security and support </w:t>
            </w:r>
          </w:p>
        </w:tc>
        <w:tc>
          <w:tcPr>
            <w:tcW w:w="1475" w:type="dxa"/>
            <w:tcBorders>
              <w:top w:val="nil"/>
              <w:left w:val="nil"/>
              <w:bottom w:val="nil"/>
              <w:right w:val="nil"/>
            </w:tcBorders>
            <w:shd w:val="clear" w:color="auto" w:fill="FFFFFF"/>
            <w:vAlign w:val="bottom"/>
          </w:tcPr>
          <w:p w14:paraId="508A62B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4,678</w:t>
            </w:r>
          </w:p>
        </w:tc>
        <w:tc>
          <w:tcPr>
            <w:tcW w:w="1475" w:type="dxa"/>
            <w:tcBorders>
              <w:top w:val="nil"/>
              <w:left w:val="nil"/>
              <w:bottom w:val="nil"/>
              <w:right w:val="nil"/>
            </w:tcBorders>
            <w:shd w:val="clear" w:color="auto" w:fill="FFFFFF"/>
            <w:vAlign w:val="bottom"/>
          </w:tcPr>
          <w:p w14:paraId="67FABDA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4,678</w:t>
            </w:r>
          </w:p>
        </w:tc>
        <w:tc>
          <w:tcPr>
            <w:tcW w:w="1475" w:type="dxa"/>
            <w:tcBorders>
              <w:top w:val="nil"/>
              <w:left w:val="nil"/>
              <w:bottom w:val="nil"/>
              <w:right w:val="nil"/>
            </w:tcBorders>
            <w:shd w:val="clear" w:color="auto" w:fill="FFFFFF"/>
            <w:vAlign w:val="bottom"/>
          </w:tcPr>
          <w:p w14:paraId="194ABD6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1,798</w:t>
            </w:r>
          </w:p>
        </w:tc>
      </w:tr>
      <w:tr w:rsidR="002575C6" w14:paraId="6B8A40FA"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5F7A242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Database</w:t>
            </w:r>
          </w:p>
        </w:tc>
        <w:tc>
          <w:tcPr>
            <w:tcW w:w="1475" w:type="dxa"/>
            <w:tcBorders>
              <w:top w:val="nil"/>
              <w:left w:val="nil"/>
              <w:bottom w:val="nil"/>
              <w:right w:val="nil"/>
            </w:tcBorders>
            <w:shd w:val="clear" w:color="auto" w:fill="FFFFFF"/>
            <w:vAlign w:val="bottom"/>
          </w:tcPr>
          <w:p w14:paraId="6BCA97A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675</w:t>
            </w:r>
          </w:p>
        </w:tc>
        <w:tc>
          <w:tcPr>
            <w:tcW w:w="1475" w:type="dxa"/>
            <w:tcBorders>
              <w:top w:val="nil"/>
              <w:left w:val="nil"/>
              <w:bottom w:val="nil"/>
              <w:right w:val="nil"/>
            </w:tcBorders>
            <w:shd w:val="clear" w:color="auto" w:fill="FFFFFF"/>
            <w:vAlign w:val="bottom"/>
          </w:tcPr>
          <w:p w14:paraId="5628E28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675</w:t>
            </w:r>
          </w:p>
        </w:tc>
        <w:tc>
          <w:tcPr>
            <w:tcW w:w="1475" w:type="dxa"/>
            <w:tcBorders>
              <w:top w:val="nil"/>
              <w:left w:val="nil"/>
              <w:bottom w:val="nil"/>
              <w:right w:val="nil"/>
            </w:tcBorders>
            <w:shd w:val="clear" w:color="auto" w:fill="FFFFFF"/>
            <w:vAlign w:val="bottom"/>
          </w:tcPr>
          <w:p w14:paraId="7987D88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150</w:t>
            </w:r>
          </w:p>
        </w:tc>
      </w:tr>
      <w:tr w:rsidR="002575C6" w14:paraId="639998F2"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31EBAEE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Website</w:t>
            </w:r>
          </w:p>
        </w:tc>
        <w:tc>
          <w:tcPr>
            <w:tcW w:w="1475" w:type="dxa"/>
            <w:tcBorders>
              <w:top w:val="nil"/>
              <w:left w:val="nil"/>
              <w:bottom w:val="nil"/>
              <w:right w:val="nil"/>
            </w:tcBorders>
            <w:shd w:val="clear" w:color="auto" w:fill="FFFFFF"/>
            <w:vAlign w:val="bottom"/>
          </w:tcPr>
          <w:p w14:paraId="39A2C0E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733</w:t>
            </w:r>
          </w:p>
        </w:tc>
        <w:tc>
          <w:tcPr>
            <w:tcW w:w="1475" w:type="dxa"/>
            <w:tcBorders>
              <w:top w:val="nil"/>
              <w:left w:val="nil"/>
              <w:bottom w:val="nil"/>
              <w:right w:val="nil"/>
            </w:tcBorders>
            <w:shd w:val="clear" w:color="auto" w:fill="FFFFFF"/>
            <w:vAlign w:val="bottom"/>
          </w:tcPr>
          <w:p w14:paraId="33CEE24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733</w:t>
            </w:r>
          </w:p>
        </w:tc>
        <w:tc>
          <w:tcPr>
            <w:tcW w:w="1475" w:type="dxa"/>
            <w:tcBorders>
              <w:top w:val="nil"/>
              <w:left w:val="nil"/>
              <w:bottom w:val="nil"/>
              <w:right w:val="nil"/>
            </w:tcBorders>
            <w:shd w:val="clear" w:color="auto" w:fill="FFFFFF"/>
            <w:vAlign w:val="bottom"/>
          </w:tcPr>
          <w:p w14:paraId="22CB12B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1,550</w:t>
            </w:r>
          </w:p>
        </w:tc>
      </w:tr>
      <w:tr w:rsidR="002575C6" w14:paraId="7246E50E"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168D6B09"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Printing, postage and stationery</w:t>
            </w:r>
          </w:p>
        </w:tc>
        <w:tc>
          <w:tcPr>
            <w:tcW w:w="1475" w:type="dxa"/>
            <w:tcBorders>
              <w:top w:val="nil"/>
              <w:left w:val="nil"/>
              <w:bottom w:val="nil"/>
              <w:right w:val="nil"/>
            </w:tcBorders>
            <w:shd w:val="clear" w:color="auto" w:fill="FFFFFF"/>
            <w:vAlign w:val="bottom"/>
          </w:tcPr>
          <w:p w14:paraId="4A4FFA0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552</w:t>
            </w:r>
          </w:p>
        </w:tc>
        <w:tc>
          <w:tcPr>
            <w:tcW w:w="1475" w:type="dxa"/>
            <w:tcBorders>
              <w:top w:val="nil"/>
              <w:left w:val="nil"/>
              <w:bottom w:val="nil"/>
              <w:right w:val="nil"/>
            </w:tcBorders>
            <w:shd w:val="clear" w:color="auto" w:fill="FFFFFF"/>
            <w:vAlign w:val="bottom"/>
          </w:tcPr>
          <w:p w14:paraId="7938D75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552</w:t>
            </w:r>
          </w:p>
        </w:tc>
        <w:tc>
          <w:tcPr>
            <w:tcW w:w="1475" w:type="dxa"/>
            <w:tcBorders>
              <w:top w:val="nil"/>
              <w:left w:val="nil"/>
              <w:bottom w:val="nil"/>
              <w:right w:val="nil"/>
            </w:tcBorders>
            <w:shd w:val="clear" w:color="auto" w:fill="FFFFFF"/>
            <w:vAlign w:val="bottom"/>
          </w:tcPr>
          <w:p w14:paraId="14AAA9F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344</w:t>
            </w:r>
          </w:p>
        </w:tc>
      </w:tr>
      <w:tr w:rsidR="002575C6" w14:paraId="63864356"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24CE4E1D"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Exhibition Fees</w:t>
            </w:r>
          </w:p>
        </w:tc>
        <w:tc>
          <w:tcPr>
            <w:tcW w:w="1475" w:type="dxa"/>
            <w:tcBorders>
              <w:top w:val="nil"/>
              <w:left w:val="nil"/>
              <w:bottom w:val="nil"/>
              <w:right w:val="nil"/>
            </w:tcBorders>
            <w:shd w:val="clear" w:color="auto" w:fill="FFFFFF"/>
            <w:vAlign w:val="bottom"/>
          </w:tcPr>
          <w:p w14:paraId="1997641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1,123</w:t>
            </w:r>
          </w:p>
        </w:tc>
        <w:tc>
          <w:tcPr>
            <w:tcW w:w="1475" w:type="dxa"/>
            <w:tcBorders>
              <w:top w:val="nil"/>
              <w:left w:val="nil"/>
              <w:bottom w:val="nil"/>
              <w:right w:val="nil"/>
            </w:tcBorders>
            <w:shd w:val="clear" w:color="auto" w:fill="FFFFFF"/>
            <w:vAlign w:val="bottom"/>
          </w:tcPr>
          <w:p w14:paraId="5FE85B2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1,123</w:t>
            </w:r>
          </w:p>
        </w:tc>
        <w:tc>
          <w:tcPr>
            <w:tcW w:w="1475" w:type="dxa"/>
            <w:tcBorders>
              <w:top w:val="nil"/>
              <w:left w:val="nil"/>
              <w:bottom w:val="nil"/>
              <w:right w:val="nil"/>
            </w:tcBorders>
            <w:shd w:val="clear" w:color="auto" w:fill="FFFFFF"/>
            <w:vAlign w:val="bottom"/>
          </w:tcPr>
          <w:p w14:paraId="6FFD4D2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928</w:t>
            </w:r>
          </w:p>
        </w:tc>
      </w:tr>
      <w:tr w:rsidR="002575C6" w14:paraId="5B2612A6"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30D2167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Trade subscriptions</w:t>
            </w:r>
          </w:p>
        </w:tc>
        <w:tc>
          <w:tcPr>
            <w:tcW w:w="1475" w:type="dxa"/>
            <w:tcBorders>
              <w:top w:val="nil"/>
              <w:left w:val="nil"/>
              <w:bottom w:val="nil"/>
              <w:right w:val="nil"/>
            </w:tcBorders>
            <w:shd w:val="clear" w:color="auto" w:fill="FFFFFF"/>
            <w:vAlign w:val="bottom"/>
          </w:tcPr>
          <w:p w14:paraId="06B5372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929</w:t>
            </w:r>
          </w:p>
        </w:tc>
        <w:tc>
          <w:tcPr>
            <w:tcW w:w="1475" w:type="dxa"/>
            <w:tcBorders>
              <w:top w:val="nil"/>
              <w:left w:val="nil"/>
              <w:bottom w:val="nil"/>
              <w:right w:val="nil"/>
            </w:tcBorders>
            <w:shd w:val="clear" w:color="auto" w:fill="FFFFFF"/>
            <w:vAlign w:val="bottom"/>
          </w:tcPr>
          <w:p w14:paraId="71120ED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929</w:t>
            </w:r>
          </w:p>
        </w:tc>
        <w:tc>
          <w:tcPr>
            <w:tcW w:w="1475" w:type="dxa"/>
            <w:tcBorders>
              <w:top w:val="nil"/>
              <w:left w:val="nil"/>
              <w:bottom w:val="nil"/>
              <w:right w:val="nil"/>
            </w:tcBorders>
            <w:shd w:val="clear" w:color="auto" w:fill="FFFFFF"/>
            <w:vAlign w:val="bottom"/>
          </w:tcPr>
          <w:p w14:paraId="5CD10E7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1,120</w:t>
            </w:r>
          </w:p>
        </w:tc>
      </w:tr>
      <w:tr w:rsidR="002575C6" w14:paraId="55BF2A37"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5EA65573"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Sundry expenses</w:t>
            </w:r>
          </w:p>
        </w:tc>
        <w:tc>
          <w:tcPr>
            <w:tcW w:w="1475" w:type="dxa"/>
            <w:tcBorders>
              <w:top w:val="nil"/>
              <w:left w:val="nil"/>
              <w:bottom w:val="nil"/>
              <w:right w:val="nil"/>
            </w:tcBorders>
            <w:shd w:val="clear" w:color="auto" w:fill="FFFFFF"/>
            <w:vAlign w:val="bottom"/>
          </w:tcPr>
          <w:p w14:paraId="2E29133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623</w:t>
            </w:r>
          </w:p>
        </w:tc>
        <w:tc>
          <w:tcPr>
            <w:tcW w:w="1475" w:type="dxa"/>
            <w:tcBorders>
              <w:top w:val="nil"/>
              <w:left w:val="nil"/>
              <w:bottom w:val="nil"/>
              <w:right w:val="nil"/>
            </w:tcBorders>
            <w:shd w:val="clear" w:color="auto" w:fill="FFFFFF"/>
            <w:vAlign w:val="bottom"/>
          </w:tcPr>
          <w:p w14:paraId="78D3EBA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623</w:t>
            </w:r>
          </w:p>
        </w:tc>
        <w:tc>
          <w:tcPr>
            <w:tcW w:w="1475" w:type="dxa"/>
            <w:tcBorders>
              <w:top w:val="nil"/>
              <w:left w:val="nil"/>
              <w:bottom w:val="nil"/>
              <w:right w:val="nil"/>
            </w:tcBorders>
            <w:shd w:val="clear" w:color="auto" w:fill="FFFFFF"/>
            <w:vAlign w:val="bottom"/>
          </w:tcPr>
          <w:p w14:paraId="7504D72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399</w:t>
            </w:r>
          </w:p>
        </w:tc>
      </w:tr>
      <w:tr w:rsidR="002575C6" w14:paraId="0E772ED7"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21C37698"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Accountancy fees</w:t>
            </w:r>
          </w:p>
        </w:tc>
        <w:tc>
          <w:tcPr>
            <w:tcW w:w="1475" w:type="dxa"/>
            <w:tcBorders>
              <w:top w:val="nil"/>
              <w:left w:val="nil"/>
              <w:bottom w:val="nil"/>
              <w:right w:val="nil"/>
            </w:tcBorders>
            <w:shd w:val="clear" w:color="auto" w:fill="FFFFFF"/>
            <w:vAlign w:val="bottom"/>
          </w:tcPr>
          <w:p w14:paraId="62A96D4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4,774</w:t>
            </w:r>
          </w:p>
        </w:tc>
        <w:tc>
          <w:tcPr>
            <w:tcW w:w="1475" w:type="dxa"/>
            <w:tcBorders>
              <w:top w:val="nil"/>
              <w:left w:val="nil"/>
              <w:bottom w:val="nil"/>
              <w:right w:val="nil"/>
            </w:tcBorders>
            <w:shd w:val="clear" w:color="auto" w:fill="FFFFFF"/>
            <w:vAlign w:val="bottom"/>
          </w:tcPr>
          <w:p w14:paraId="18D2F2C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4,774</w:t>
            </w:r>
          </w:p>
        </w:tc>
        <w:tc>
          <w:tcPr>
            <w:tcW w:w="1475" w:type="dxa"/>
            <w:tcBorders>
              <w:top w:val="nil"/>
              <w:left w:val="nil"/>
              <w:bottom w:val="nil"/>
              <w:right w:val="nil"/>
            </w:tcBorders>
            <w:shd w:val="clear" w:color="auto" w:fill="FFFFFF"/>
            <w:vAlign w:val="bottom"/>
          </w:tcPr>
          <w:p w14:paraId="6FB85A9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5,280</w:t>
            </w:r>
          </w:p>
        </w:tc>
      </w:tr>
      <w:tr w:rsidR="002575C6" w14:paraId="73AF6E23"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0D4CB092"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Partial Exemption VAT disallowed</w:t>
            </w:r>
          </w:p>
        </w:tc>
        <w:tc>
          <w:tcPr>
            <w:tcW w:w="1475" w:type="dxa"/>
            <w:tcBorders>
              <w:top w:val="nil"/>
              <w:left w:val="nil"/>
              <w:bottom w:val="nil"/>
              <w:right w:val="nil"/>
            </w:tcBorders>
            <w:shd w:val="clear" w:color="auto" w:fill="FFFFFF"/>
            <w:vAlign w:val="bottom"/>
          </w:tcPr>
          <w:p w14:paraId="521E88E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475" w:type="dxa"/>
            <w:tcBorders>
              <w:top w:val="nil"/>
              <w:left w:val="nil"/>
              <w:bottom w:val="nil"/>
              <w:right w:val="nil"/>
            </w:tcBorders>
            <w:shd w:val="clear" w:color="auto" w:fill="FFFFFF"/>
            <w:vAlign w:val="bottom"/>
          </w:tcPr>
          <w:p w14:paraId="787825F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475" w:type="dxa"/>
            <w:tcBorders>
              <w:top w:val="nil"/>
              <w:left w:val="nil"/>
              <w:bottom w:val="nil"/>
              <w:right w:val="nil"/>
            </w:tcBorders>
            <w:shd w:val="clear" w:color="auto" w:fill="FFFFFF"/>
            <w:vAlign w:val="bottom"/>
          </w:tcPr>
          <w:p w14:paraId="3456741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1,429</w:t>
            </w:r>
          </w:p>
        </w:tc>
      </w:tr>
      <w:tr w:rsidR="002575C6" w14:paraId="04F111EC"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2C213D3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Independent examiner's fee</w:t>
            </w:r>
          </w:p>
        </w:tc>
        <w:tc>
          <w:tcPr>
            <w:tcW w:w="1475" w:type="dxa"/>
            <w:tcBorders>
              <w:top w:val="nil"/>
              <w:left w:val="nil"/>
              <w:bottom w:val="nil"/>
              <w:right w:val="nil"/>
            </w:tcBorders>
            <w:shd w:val="clear" w:color="auto" w:fill="FFFFFF"/>
            <w:vAlign w:val="bottom"/>
          </w:tcPr>
          <w:p w14:paraId="1236FED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5,094</w:t>
            </w:r>
          </w:p>
        </w:tc>
        <w:tc>
          <w:tcPr>
            <w:tcW w:w="1475" w:type="dxa"/>
            <w:tcBorders>
              <w:top w:val="nil"/>
              <w:left w:val="nil"/>
              <w:bottom w:val="nil"/>
              <w:right w:val="nil"/>
            </w:tcBorders>
            <w:shd w:val="clear" w:color="auto" w:fill="FFFFFF"/>
            <w:vAlign w:val="bottom"/>
          </w:tcPr>
          <w:p w14:paraId="62DB41F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5,094</w:t>
            </w:r>
          </w:p>
        </w:tc>
        <w:tc>
          <w:tcPr>
            <w:tcW w:w="1475" w:type="dxa"/>
            <w:tcBorders>
              <w:top w:val="nil"/>
              <w:left w:val="nil"/>
              <w:bottom w:val="nil"/>
              <w:right w:val="nil"/>
            </w:tcBorders>
            <w:shd w:val="clear" w:color="auto" w:fill="FFFFFF"/>
            <w:vAlign w:val="bottom"/>
          </w:tcPr>
          <w:p w14:paraId="107F767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2,672</w:t>
            </w:r>
          </w:p>
        </w:tc>
      </w:tr>
      <w:tr w:rsidR="002575C6" w14:paraId="782127C9"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2F4937E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Depreciation</w:t>
            </w:r>
          </w:p>
        </w:tc>
        <w:tc>
          <w:tcPr>
            <w:tcW w:w="1475" w:type="dxa"/>
            <w:tcBorders>
              <w:top w:val="nil"/>
              <w:left w:val="nil"/>
              <w:bottom w:val="single" w:sz="2" w:space="0" w:color="auto"/>
              <w:right w:val="nil"/>
            </w:tcBorders>
            <w:shd w:val="clear" w:color="auto" w:fill="FFFFFF"/>
            <w:vAlign w:val="bottom"/>
          </w:tcPr>
          <w:p w14:paraId="26F2FA2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2,562</w:t>
            </w:r>
          </w:p>
        </w:tc>
        <w:tc>
          <w:tcPr>
            <w:tcW w:w="1475" w:type="dxa"/>
            <w:tcBorders>
              <w:top w:val="nil"/>
              <w:left w:val="nil"/>
              <w:bottom w:val="single" w:sz="2" w:space="0" w:color="auto"/>
              <w:right w:val="nil"/>
            </w:tcBorders>
            <w:shd w:val="clear" w:color="auto" w:fill="FFFFFF"/>
            <w:vAlign w:val="bottom"/>
          </w:tcPr>
          <w:p w14:paraId="5273847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2,562</w:t>
            </w:r>
          </w:p>
        </w:tc>
        <w:tc>
          <w:tcPr>
            <w:tcW w:w="1475" w:type="dxa"/>
            <w:tcBorders>
              <w:top w:val="nil"/>
              <w:left w:val="nil"/>
              <w:bottom w:val="single" w:sz="2" w:space="0" w:color="auto"/>
              <w:right w:val="nil"/>
            </w:tcBorders>
            <w:shd w:val="clear" w:color="auto" w:fill="FFFFFF"/>
            <w:vAlign w:val="bottom"/>
          </w:tcPr>
          <w:p w14:paraId="34AD51A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r>
      <w:tr w:rsidR="002575C6" w14:paraId="5F1D4D96" w14:textId="77777777">
        <w:tblPrEx>
          <w:tblCellMar>
            <w:top w:w="0" w:type="dxa"/>
            <w:left w:w="0" w:type="dxa"/>
            <w:bottom w:w="0" w:type="dxa"/>
            <w:right w:w="0" w:type="dxa"/>
          </w:tblCellMar>
        </w:tblPrEx>
        <w:tc>
          <w:tcPr>
            <w:tcW w:w="4609" w:type="dxa"/>
            <w:gridSpan w:val="2"/>
            <w:tcBorders>
              <w:top w:val="nil"/>
              <w:left w:val="nil"/>
              <w:bottom w:val="nil"/>
              <w:right w:val="nil"/>
            </w:tcBorders>
            <w:shd w:val="clear" w:color="auto" w:fill="FFFFFF"/>
            <w:vAlign w:val="center"/>
          </w:tcPr>
          <w:p w14:paraId="2B0040DB" w14:textId="77777777" w:rsidR="002575C6" w:rsidRDefault="002575C6">
            <w:pPr>
              <w:autoSpaceDE w:val="0"/>
              <w:autoSpaceDN w:val="0"/>
              <w:adjustRightInd w:val="0"/>
              <w:spacing w:after="0" w:line="240" w:lineRule="auto"/>
              <w:rPr>
                <w:rFonts w:ascii="Times New Roman" w:hAnsi="Times New Roman"/>
                <w:kern w:val="0"/>
              </w:rPr>
            </w:pPr>
          </w:p>
        </w:tc>
        <w:tc>
          <w:tcPr>
            <w:tcW w:w="1475" w:type="dxa"/>
            <w:tcBorders>
              <w:top w:val="nil"/>
              <w:left w:val="nil"/>
              <w:bottom w:val="double" w:sz="2" w:space="0" w:color="auto"/>
              <w:right w:val="nil"/>
            </w:tcBorders>
            <w:shd w:val="clear" w:color="auto" w:fill="FFFFFF"/>
            <w:vAlign w:val="bottom"/>
          </w:tcPr>
          <w:p w14:paraId="43C4EEB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43,537</w:t>
            </w:r>
          </w:p>
        </w:tc>
        <w:tc>
          <w:tcPr>
            <w:tcW w:w="1475" w:type="dxa"/>
            <w:tcBorders>
              <w:top w:val="nil"/>
              <w:left w:val="nil"/>
              <w:bottom w:val="double" w:sz="2" w:space="0" w:color="auto"/>
              <w:right w:val="nil"/>
            </w:tcBorders>
            <w:shd w:val="clear" w:color="auto" w:fill="FFFFFF"/>
            <w:vAlign w:val="bottom"/>
          </w:tcPr>
          <w:p w14:paraId="7505F40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43,537</w:t>
            </w:r>
          </w:p>
        </w:tc>
        <w:tc>
          <w:tcPr>
            <w:tcW w:w="1475" w:type="dxa"/>
            <w:tcBorders>
              <w:top w:val="nil"/>
              <w:left w:val="nil"/>
              <w:bottom w:val="double" w:sz="2" w:space="0" w:color="auto"/>
              <w:right w:val="nil"/>
            </w:tcBorders>
            <w:shd w:val="clear" w:color="auto" w:fill="FFFFFF"/>
            <w:vAlign w:val="bottom"/>
          </w:tcPr>
          <w:p w14:paraId="006FE12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47,365</w:t>
            </w:r>
          </w:p>
        </w:tc>
      </w:tr>
      <w:tr w:rsidR="002575C6" w14:paraId="09E4086D"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02366B15"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10</w:t>
            </w:r>
          </w:p>
        </w:tc>
        <w:tc>
          <w:tcPr>
            <w:tcW w:w="8750" w:type="dxa"/>
            <w:gridSpan w:val="4"/>
            <w:tcBorders>
              <w:top w:val="nil"/>
              <w:left w:val="nil"/>
              <w:bottom w:val="nil"/>
              <w:right w:val="nil"/>
            </w:tcBorders>
            <w:shd w:val="clear" w:color="auto" w:fill="FFFFFF"/>
            <w:vAlign w:val="center"/>
          </w:tcPr>
          <w:p w14:paraId="7CB6BFAB"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Net incoming/outgoing resources</w:t>
            </w:r>
          </w:p>
        </w:tc>
      </w:tr>
    </w:tbl>
    <w:p w14:paraId="0C23E70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Net incoming resources for the year include:</w:t>
      </w:r>
    </w:p>
    <w:tbl>
      <w:tblPr>
        <w:tblW w:w="0" w:type="auto"/>
        <w:tblLayout w:type="fixed"/>
        <w:tblCellMar>
          <w:left w:w="0" w:type="dxa"/>
          <w:right w:w="0" w:type="dxa"/>
        </w:tblCellMar>
        <w:tblLook w:val="0000" w:firstRow="0" w:lastRow="0" w:firstColumn="0" w:lastColumn="0" w:noHBand="0" w:noVBand="0"/>
      </w:tblPr>
      <w:tblGrid>
        <w:gridCol w:w="284"/>
        <w:gridCol w:w="7218"/>
        <w:gridCol w:w="1532"/>
      </w:tblGrid>
      <w:tr w:rsidR="002575C6" w14:paraId="03EECDCE" w14:textId="77777777">
        <w:tblPrEx>
          <w:tblCellMar>
            <w:top w:w="0" w:type="dxa"/>
            <w:left w:w="0" w:type="dxa"/>
            <w:bottom w:w="0" w:type="dxa"/>
            <w:right w:w="0" w:type="dxa"/>
          </w:tblCellMar>
        </w:tblPrEx>
        <w:tc>
          <w:tcPr>
            <w:tcW w:w="7502" w:type="dxa"/>
            <w:gridSpan w:val="2"/>
            <w:tcBorders>
              <w:top w:val="nil"/>
              <w:left w:val="nil"/>
              <w:bottom w:val="nil"/>
              <w:right w:val="nil"/>
            </w:tcBorders>
            <w:shd w:val="clear" w:color="auto" w:fill="FFFFFF"/>
            <w:vAlign w:val="bottom"/>
          </w:tcPr>
          <w:p w14:paraId="586308E7"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6A596E71"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05376E68" w14:textId="77777777">
        <w:tblPrEx>
          <w:tblCellMar>
            <w:top w:w="0" w:type="dxa"/>
            <w:left w:w="0" w:type="dxa"/>
            <w:bottom w:w="0" w:type="dxa"/>
            <w:right w:w="0" w:type="dxa"/>
          </w:tblCellMar>
        </w:tblPrEx>
        <w:tc>
          <w:tcPr>
            <w:tcW w:w="7502" w:type="dxa"/>
            <w:gridSpan w:val="2"/>
            <w:tcBorders>
              <w:top w:val="nil"/>
              <w:left w:val="nil"/>
              <w:bottom w:val="nil"/>
              <w:right w:val="nil"/>
            </w:tcBorders>
            <w:shd w:val="clear" w:color="auto" w:fill="FFFFFF"/>
            <w:vAlign w:val="bottom"/>
          </w:tcPr>
          <w:p w14:paraId="7B5A08C3"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Depreciation of fixed assets</w:t>
            </w:r>
          </w:p>
        </w:tc>
        <w:tc>
          <w:tcPr>
            <w:tcW w:w="1531" w:type="dxa"/>
            <w:tcBorders>
              <w:top w:val="nil"/>
              <w:left w:val="nil"/>
              <w:bottom w:val="double" w:sz="2" w:space="0" w:color="auto"/>
              <w:right w:val="nil"/>
            </w:tcBorders>
            <w:shd w:val="clear" w:color="auto" w:fill="FFFFFF"/>
            <w:vAlign w:val="bottom"/>
          </w:tcPr>
          <w:p w14:paraId="480F122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5,124</w:t>
            </w:r>
          </w:p>
        </w:tc>
      </w:tr>
      <w:tr w:rsidR="002575C6" w14:paraId="12D24B40"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3A934D45"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11</w:t>
            </w:r>
          </w:p>
        </w:tc>
        <w:tc>
          <w:tcPr>
            <w:tcW w:w="8750" w:type="dxa"/>
            <w:gridSpan w:val="2"/>
            <w:tcBorders>
              <w:top w:val="nil"/>
              <w:left w:val="nil"/>
              <w:bottom w:val="nil"/>
              <w:right w:val="nil"/>
            </w:tcBorders>
            <w:shd w:val="clear" w:color="auto" w:fill="FFFFFF"/>
            <w:vAlign w:val="center"/>
          </w:tcPr>
          <w:p w14:paraId="40082077"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Trustees remuneration and expenses</w:t>
            </w:r>
          </w:p>
        </w:tc>
      </w:tr>
    </w:tbl>
    <w:p w14:paraId="289D9DC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No Trustees, nor any persons connected with them, have received any remuneration from the Charity during the year.</w:t>
      </w:r>
    </w:p>
    <w:p w14:paraId="41BBD39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During the year expenses were reimbursed to 3 Trustees totalling £830 (2024: £438) in respect of travel costs.</w:t>
      </w:r>
    </w:p>
    <w:p w14:paraId="5DB0DC9C"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41"/>
          <w:pgSz w:w="11909" w:h="16834"/>
          <w:pgMar w:top="1440" w:right="1440" w:bottom="1440" w:left="1440" w:header="720" w:footer="720" w:gutter="0"/>
          <w:cols w:space="720"/>
          <w:noEndnote/>
        </w:sectPr>
      </w:pPr>
    </w:p>
    <w:p w14:paraId="650C3293"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1FFD0C71"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07C5E70F"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49D31920"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12</w:t>
            </w:r>
          </w:p>
        </w:tc>
        <w:tc>
          <w:tcPr>
            <w:tcW w:w="8750" w:type="dxa"/>
            <w:tcBorders>
              <w:top w:val="nil"/>
              <w:left w:val="nil"/>
              <w:bottom w:val="nil"/>
              <w:right w:val="nil"/>
            </w:tcBorders>
            <w:shd w:val="clear" w:color="auto" w:fill="FFFFFF"/>
            <w:vAlign w:val="center"/>
          </w:tcPr>
          <w:p w14:paraId="4277C4CE"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Staff costs</w:t>
            </w:r>
          </w:p>
        </w:tc>
      </w:tr>
    </w:tbl>
    <w:p w14:paraId="4E3DE43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aggregate payroll costs were as follows:</w:t>
      </w:r>
    </w:p>
    <w:tbl>
      <w:tblPr>
        <w:tblW w:w="0" w:type="auto"/>
        <w:tblLayout w:type="fixed"/>
        <w:tblCellMar>
          <w:left w:w="0" w:type="dxa"/>
          <w:right w:w="0" w:type="dxa"/>
        </w:tblCellMar>
        <w:tblLook w:val="0000" w:firstRow="0" w:lastRow="0" w:firstColumn="0" w:lastColumn="0" w:noHBand="0" w:noVBand="0"/>
      </w:tblPr>
      <w:tblGrid>
        <w:gridCol w:w="5970"/>
        <w:gridCol w:w="1531"/>
        <w:gridCol w:w="1531"/>
      </w:tblGrid>
      <w:tr w:rsidR="002575C6" w14:paraId="7E07832E"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376913E8"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52D83C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E250A43"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0BA094C7"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0140698F"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Staff costs during the year were:</w:t>
            </w:r>
          </w:p>
        </w:tc>
        <w:tc>
          <w:tcPr>
            <w:tcW w:w="1531" w:type="dxa"/>
            <w:tcBorders>
              <w:top w:val="nil"/>
              <w:left w:val="nil"/>
              <w:bottom w:val="nil"/>
              <w:right w:val="nil"/>
            </w:tcBorders>
            <w:shd w:val="clear" w:color="auto" w:fill="FFFFFF"/>
            <w:vAlign w:val="bottom"/>
          </w:tcPr>
          <w:p w14:paraId="1F1E5184"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692A0221" w14:textId="77777777" w:rsidR="002575C6" w:rsidRDefault="002575C6">
            <w:pPr>
              <w:autoSpaceDE w:val="0"/>
              <w:autoSpaceDN w:val="0"/>
              <w:adjustRightInd w:val="0"/>
              <w:spacing w:after="0" w:line="240" w:lineRule="auto"/>
              <w:rPr>
                <w:rFonts w:ascii="Times New Roman" w:hAnsi="Times New Roman"/>
                <w:kern w:val="0"/>
              </w:rPr>
            </w:pPr>
          </w:p>
        </w:tc>
      </w:tr>
      <w:tr w:rsidR="002575C6" w14:paraId="24B7DAFE"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2A785DED"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Wages and salaries</w:t>
            </w:r>
          </w:p>
        </w:tc>
        <w:tc>
          <w:tcPr>
            <w:tcW w:w="1531" w:type="dxa"/>
            <w:tcBorders>
              <w:top w:val="nil"/>
              <w:left w:val="nil"/>
              <w:bottom w:val="nil"/>
              <w:right w:val="nil"/>
            </w:tcBorders>
            <w:shd w:val="clear" w:color="auto" w:fill="FFFFFF"/>
            <w:vAlign w:val="bottom"/>
          </w:tcPr>
          <w:p w14:paraId="66B8197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186,050</w:t>
            </w:r>
          </w:p>
        </w:tc>
        <w:tc>
          <w:tcPr>
            <w:tcW w:w="1531" w:type="dxa"/>
            <w:tcBorders>
              <w:top w:val="nil"/>
              <w:left w:val="nil"/>
              <w:bottom w:val="nil"/>
              <w:right w:val="nil"/>
            </w:tcBorders>
            <w:shd w:val="clear" w:color="auto" w:fill="FFFFFF"/>
            <w:vAlign w:val="bottom"/>
          </w:tcPr>
          <w:p w14:paraId="3FB52E2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167,127</w:t>
            </w:r>
          </w:p>
        </w:tc>
      </w:tr>
      <w:tr w:rsidR="002575C6" w14:paraId="438AB9E2"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3C5919CA"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Social security costs</w:t>
            </w:r>
          </w:p>
        </w:tc>
        <w:tc>
          <w:tcPr>
            <w:tcW w:w="1531" w:type="dxa"/>
            <w:tcBorders>
              <w:top w:val="nil"/>
              <w:left w:val="nil"/>
              <w:bottom w:val="nil"/>
              <w:right w:val="nil"/>
            </w:tcBorders>
            <w:shd w:val="clear" w:color="auto" w:fill="FFFFFF"/>
            <w:vAlign w:val="bottom"/>
          </w:tcPr>
          <w:p w14:paraId="413F3A3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17,060</w:t>
            </w:r>
          </w:p>
        </w:tc>
        <w:tc>
          <w:tcPr>
            <w:tcW w:w="1531" w:type="dxa"/>
            <w:tcBorders>
              <w:top w:val="nil"/>
              <w:left w:val="nil"/>
              <w:bottom w:val="nil"/>
              <w:right w:val="nil"/>
            </w:tcBorders>
            <w:shd w:val="clear" w:color="auto" w:fill="FFFFFF"/>
            <w:vAlign w:val="bottom"/>
          </w:tcPr>
          <w:p w14:paraId="31A9360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14,331</w:t>
            </w:r>
          </w:p>
        </w:tc>
      </w:tr>
      <w:tr w:rsidR="002575C6" w14:paraId="69867E2B"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3C09D8E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Pension costs</w:t>
            </w:r>
          </w:p>
        </w:tc>
        <w:tc>
          <w:tcPr>
            <w:tcW w:w="1531" w:type="dxa"/>
            <w:tcBorders>
              <w:top w:val="nil"/>
              <w:left w:val="nil"/>
              <w:bottom w:val="single" w:sz="2" w:space="0" w:color="auto"/>
              <w:right w:val="nil"/>
            </w:tcBorders>
            <w:shd w:val="clear" w:color="auto" w:fill="FFFFFF"/>
            <w:vAlign w:val="bottom"/>
          </w:tcPr>
          <w:p w14:paraId="60D42DC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10,022</w:t>
            </w:r>
          </w:p>
        </w:tc>
        <w:tc>
          <w:tcPr>
            <w:tcW w:w="1531" w:type="dxa"/>
            <w:tcBorders>
              <w:top w:val="nil"/>
              <w:left w:val="nil"/>
              <w:bottom w:val="single" w:sz="2" w:space="0" w:color="auto"/>
              <w:right w:val="nil"/>
            </w:tcBorders>
            <w:shd w:val="clear" w:color="auto" w:fill="FFFFFF"/>
            <w:vAlign w:val="bottom"/>
          </w:tcPr>
          <w:p w14:paraId="46EC124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8,642</w:t>
            </w:r>
          </w:p>
        </w:tc>
      </w:tr>
      <w:tr w:rsidR="002575C6" w14:paraId="1F05A1DC"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67A316EE"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76B3841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213,132</w:t>
            </w:r>
          </w:p>
        </w:tc>
        <w:tc>
          <w:tcPr>
            <w:tcW w:w="1531" w:type="dxa"/>
            <w:tcBorders>
              <w:top w:val="nil"/>
              <w:left w:val="nil"/>
              <w:bottom w:val="double" w:sz="2" w:space="0" w:color="auto"/>
              <w:right w:val="nil"/>
            </w:tcBorders>
            <w:shd w:val="clear" w:color="auto" w:fill="FFFFFF"/>
            <w:vAlign w:val="bottom"/>
          </w:tcPr>
          <w:p w14:paraId="5FDF928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190,100</w:t>
            </w:r>
          </w:p>
        </w:tc>
      </w:tr>
    </w:tbl>
    <w:p w14:paraId="361F33B6" w14:textId="77777777" w:rsidR="002575C6" w:rsidRDefault="002575C6">
      <w:pPr>
        <w:autoSpaceDE w:val="0"/>
        <w:autoSpaceDN w:val="0"/>
        <w:adjustRightInd w:val="0"/>
        <w:spacing w:before="283" w:after="100" w:line="240" w:lineRule="auto"/>
        <w:jc w:val="both"/>
        <w:rPr>
          <w:rFonts w:ascii="Times New Roman" w:hAnsi="Times New Roman"/>
          <w:kern w:val="0"/>
        </w:rPr>
      </w:pPr>
      <w:r>
        <w:rPr>
          <w:rFonts w:ascii="Arial" w:hAnsi="Arial" w:cs="Arial"/>
          <w:kern w:val="0"/>
          <w:sz w:val="20"/>
          <w:szCs w:val="20"/>
        </w:rPr>
        <w:t>The average number of persons employed by the Charity during the year was as follows:</w:t>
      </w:r>
    </w:p>
    <w:tbl>
      <w:tblPr>
        <w:tblW w:w="0" w:type="auto"/>
        <w:tblLayout w:type="fixed"/>
        <w:tblCellMar>
          <w:left w:w="0" w:type="dxa"/>
          <w:right w:w="0" w:type="dxa"/>
        </w:tblCellMar>
        <w:tblLook w:val="0000" w:firstRow="0" w:lastRow="0" w:firstColumn="0" w:lastColumn="0" w:noHBand="0" w:noVBand="0"/>
      </w:tblPr>
      <w:tblGrid>
        <w:gridCol w:w="5970"/>
        <w:gridCol w:w="1531"/>
        <w:gridCol w:w="1531"/>
      </w:tblGrid>
      <w:tr w:rsidR="002575C6" w14:paraId="11A45CB2"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660FAF32"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2C10874"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No</w:t>
            </w:r>
          </w:p>
        </w:tc>
        <w:tc>
          <w:tcPr>
            <w:tcW w:w="1531" w:type="dxa"/>
            <w:tcBorders>
              <w:top w:val="nil"/>
              <w:left w:val="nil"/>
              <w:bottom w:val="nil"/>
              <w:right w:val="nil"/>
            </w:tcBorders>
            <w:shd w:val="clear" w:color="auto" w:fill="FFFFFF"/>
            <w:vAlign w:val="bottom"/>
          </w:tcPr>
          <w:p w14:paraId="426E0436"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No</w:t>
            </w:r>
          </w:p>
        </w:tc>
      </w:tr>
      <w:tr w:rsidR="002575C6" w14:paraId="7A7EF64A" w14:textId="77777777">
        <w:tblPrEx>
          <w:tblCellMar>
            <w:top w:w="0" w:type="dxa"/>
            <w:left w:w="0" w:type="dxa"/>
            <w:bottom w:w="0" w:type="dxa"/>
            <w:right w:w="0" w:type="dxa"/>
          </w:tblCellMar>
        </w:tblPrEx>
        <w:tc>
          <w:tcPr>
            <w:tcW w:w="5970" w:type="dxa"/>
            <w:tcBorders>
              <w:top w:val="nil"/>
              <w:left w:val="nil"/>
              <w:bottom w:val="nil"/>
              <w:right w:val="nil"/>
            </w:tcBorders>
            <w:shd w:val="clear" w:color="auto" w:fill="FFFFFF"/>
            <w:vAlign w:val="bottom"/>
          </w:tcPr>
          <w:p w14:paraId="6984D14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 xml:space="preserve">Charitable activities </w:t>
            </w:r>
          </w:p>
        </w:tc>
        <w:tc>
          <w:tcPr>
            <w:tcW w:w="1531" w:type="dxa"/>
            <w:tcBorders>
              <w:top w:val="nil"/>
              <w:left w:val="nil"/>
              <w:bottom w:val="double" w:sz="2" w:space="0" w:color="auto"/>
              <w:right w:val="nil"/>
            </w:tcBorders>
            <w:shd w:val="clear" w:color="auto" w:fill="FFFFFF"/>
            <w:vAlign w:val="bottom"/>
          </w:tcPr>
          <w:p w14:paraId="275EA9D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w:t>
            </w:r>
          </w:p>
        </w:tc>
        <w:tc>
          <w:tcPr>
            <w:tcW w:w="1531" w:type="dxa"/>
            <w:tcBorders>
              <w:top w:val="nil"/>
              <w:left w:val="nil"/>
              <w:bottom w:val="double" w:sz="2" w:space="0" w:color="auto"/>
              <w:right w:val="nil"/>
            </w:tcBorders>
            <w:shd w:val="clear" w:color="auto" w:fill="FFFFFF"/>
            <w:vAlign w:val="bottom"/>
          </w:tcPr>
          <w:p w14:paraId="75A5F39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w:t>
            </w:r>
          </w:p>
        </w:tc>
      </w:tr>
    </w:tbl>
    <w:p w14:paraId="73BB809F" w14:textId="77777777" w:rsidR="002575C6" w:rsidRDefault="002575C6">
      <w:pPr>
        <w:autoSpaceDE w:val="0"/>
        <w:autoSpaceDN w:val="0"/>
        <w:adjustRightInd w:val="0"/>
        <w:spacing w:before="283" w:after="100" w:line="240" w:lineRule="auto"/>
        <w:jc w:val="both"/>
        <w:rPr>
          <w:rFonts w:ascii="Times New Roman" w:hAnsi="Times New Roman"/>
          <w:kern w:val="0"/>
        </w:rPr>
      </w:pPr>
      <w:r>
        <w:rPr>
          <w:rFonts w:ascii="Arial" w:hAnsi="Arial" w:cs="Arial"/>
          <w:kern w:val="0"/>
          <w:sz w:val="20"/>
          <w:szCs w:val="20"/>
        </w:rPr>
        <w:t>No employee received emoluments of more than £60,000 during the year</w:t>
      </w:r>
    </w:p>
    <w:tbl>
      <w:tblPr>
        <w:tblW w:w="0" w:type="auto"/>
        <w:tblLayout w:type="fixed"/>
        <w:tblCellMar>
          <w:left w:w="0" w:type="dxa"/>
          <w:right w:w="0" w:type="dxa"/>
        </w:tblCellMar>
        <w:tblLook w:val="0000" w:firstRow="0" w:lastRow="0" w:firstColumn="0" w:lastColumn="0" w:noHBand="0" w:noVBand="0"/>
      </w:tblPr>
      <w:tblGrid>
        <w:gridCol w:w="284"/>
        <w:gridCol w:w="5686"/>
        <w:gridCol w:w="1531"/>
        <w:gridCol w:w="1533"/>
      </w:tblGrid>
      <w:tr w:rsidR="002575C6" w14:paraId="7FA33E17"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7B424AD2"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13</w:t>
            </w:r>
          </w:p>
        </w:tc>
        <w:tc>
          <w:tcPr>
            <w:tcW w:w="8750" w:type="dxa"/>
            <w:gridSpan w:val="3"/>
            <w:tcBorders>
              <w:top w:val="nil"/>
              <w:left w:val="nil"/>
              <w:bottom w:val="nil"/>
              <w:right w:val="nil"/>
            </w:tcBorders>
            <w:shd w:val="clear" w:color="auto" w:fill="FFFFFF"/>
            <w:vAlign w:val="center"/>
          </w:tcPr>
          <w:p w14:paraId="393D4C41"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Independent examiner's remuneration</w:t>
            </w:r>
          </w:p>
        </w:tc>
      </w:tr>
      <w:tr w:rsidR="002575C6" w14:paraId="33FC72CD"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3491E87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C8F536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018059AA"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793045B0"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76CCE41C"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Examination of the financial statements</w:t>
            </w:r>
          </w:p>
        </w:tc>
        <w:tc>
          <w:tcPr>
            <w:tcW w:w="1531" w:type="dxa"/>
            <w:tcBorders>
              <w:top w:val="nil"/>
              <w:left w:val="nil"/>
              <w:bottom w:val="double" w:sz="2" w:space="0" w:color="auto"/>
              <w:right w:val="nil"/>
            </w:tcBorders>
            <w:shd w:val="clear" w:color="auto" w:fill="FFFFFF"/>
            <w:vAlign w:val="bottom"/>
          </w:tcPr>
          <w:p w14:paraId="2D57F00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5,094</w:t>
            </w:r>
          </w:p>
        </w:tc>
        <w:tc>
          <w:tcPr>
            <w:tcW w:w="1531" w:type="dxa"/>
            <w:tcBorders>
              <w:top w:val="nil"/>
              <w:left w:val="nil"/>
              <w:bottom w:val="double" w:sz="2" w:space="0" w:color="auto"/>
              <w:right w:val="nil"/>
            </w:tcBorders>
            <w:shd w:val="clear" w:color="auto" w:fill="FFFFFF"/>
            <w:vAlign w:val="bottom"/>
          </w:tcPr>
          <w:p w14:paraId="219F594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2,672</w:t>
            </w:r>
          </w:p>
        </w:tc>
      </w:tr>
      <w:tr w:rsidR="002575C6" w14:paraId="507F7B3B"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4BEE75C9"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14</w:t>
            </w:r>
          </w:p>
        </w:tc>
        <w:tc>
          <w:tcPr>
            <w:tcW w:w="8750" w:type="dxa"/>
            <w:gridSpan w:val="3"/>
            <w:tcBorders>
              <w:top w:val="nil"/>
              <w:left w:val="nil"/>
              <w:bottom w:val="nil"/>
              <w:right w:val="nil"/>
            </w:tcBorders>
            <w:shd w:val="clear" w:color="auto" w:fill="FFFFFF"/>
            <w:vAlign w:val="center"/>
          </w:tcPr>
          <w:p w14:paraId="16297BCF"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Taxation</w:t>
            </w:r>
          </w:p>
        </w:tc>
      </w:tr>
    </w:tbl>
    <w:p w14:paraId="45A767C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Charity is a registered charity and is therefore exempt from taxation.</w:t>
      </w:r>
    </w:p>
    <w:p w14:paraId="4244A22B"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42"/>
          <w:pgSz w:w="11909" w:h="16834"/>
          <w:pgMar w:top="1440" w:right="1440" w:bottom="1440" w:left="1440" w:header="720" w:footer="720" w:gutter="0"/>
          <w:cols w:space="720"/>
          <w:noEndnote/>
        </w:sectPr>
      </w:pPr>
    </w:p>
    <w:p w14:paraId="5E0E2EE6"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612A213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5686"/>
        <w:gridCol w:w="227"/>
        <w:gridCol w:w="1304"/>
        <w:gridCol w:w="227"/>
        <w:gridCol w:w="1306"/>
      </w:tblGrid>
      <w:tr w:rsidR="002575C6" w14:paraId="57DD5E87"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284A32BF"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15</w:t>
            </w:r>
          </w:p>
        </w:tc>
        <w:tc>
          <w:tcPr>
            <w:tcW w:w="8750" w:type="dxa"/>
            <w:gridSpan w:val="5"/>
            <w:tcBorders>
              <w:top w:val="nil"/>
              <w:left w:val="nil"/>
              <w:bottom w:val="nil"/>
              <w:right w:val="nil"/>
            </w:tcBorders>
            <w:shd w:val="clear" w:color="auto" w:fill="FFFFFF"/>
            <w:vAlign w:val="center"/>
          </w:tcPr>
          <w:p w14:paraId="4189A074"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Tangible fixed assets</w:t>
            </w:r>
          </w:p>
        </w:tc>
      </w:tr>
      <w:tr w:rsidR="002575C6" w14:paraId="524AFE50" w14:textId="77777777">
        <w:tblPrEx>
          <w:tblCellMar>
            <w:top w:w="0" w:type="dxa"/>
            <w:left w:w="0" w:type="dxa"/>
            <w:bottom w:w="0" w:type="dxa"/>
            <w:right w:w="0" w:type="dxa"/>
          </w:tblCellMar>
        </w:tblPrEx>
        <w:tc>
          <w:tcPr>
            <w:tcW w:w="6197" w:type="dxa"/>
            <w:gridSpan w:val="3"/>
            <w:tcBorders>
              <w:top w:val="nil"/>
              <w:left w:val="nil"/>
              <w:bottom w:val="nil"/>
              <w:right w:val="nil"/>
            </w:tcBorders>
            <w:shd w:val="clear" w:color="auto" w:fill="FFFFFF"/>
            <w:vAlign w:val="bottom"/>
          </w:tcPr>
          <w:p w14:paraId="62803975" w14:textId="77777777" w:rsidR="002575C6" w:rsidRDefault="002575C6">
            <w:pPr>
              <w:autoSpaceDE w:val="0"/>
              <w:autoSpaceDN w:val="0"/>
              <w:adjustRightInd w:val="0"/>
              <w:spacing w:after="0" w:line="240" w:lineRule="auto"/>
              <w:rPr>
                <w:rFonts w:ascii="Times New Roman" w:hAnsi="Times New Roman"/>
                <w:kern w:val="0"/>
              </w:rPr>
            </w:pPr>
          </w:p>
        </w:tc>
        <w:tc>
          <w:tcPr>
            <w:tcW w:w="1531" w:type="dxa"/>
            <w:gridSpan w:val="2"/>
            <w:tcBorders>
              <w:top w:val="nil"/>
              <w:left w:val="nil"/>
              <w:bottom w:val="nil"/>
              <w:right w:val="nil"/>
            </w:tcBorders>
            <w:shd w:val="clear" w:color="auto" w:fill="FFFFFF"/>
            <w:vAlign w:val="bottom"/>
          </w:tcPr>
          <w:p w14:paraId="6C29243A"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Furniture and equipment</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015FC667" w14:textId="77777777" w:rsidR="002575C6" w:rsidRDefault="002575C6">
            <w:pPr>
              <w:autoSpaceDE w:val="0"/>
              <w:autoSpaceDN w:val="0"/>
              <w:adjustRightInd w:val="0"/>
              <w:spacing w:after="0" w:line="240" w:lineRule="auto"/>
              <w:ind w:right="170"/>
              <w:jc w:val="right"/>
              <w:rPr>
                <w:rFonts w:ascii="Times New Roman" w:hAnsi="Times New Roman"/>
                <w:kern w:val="0"/>
              </w:rPr>
            </w:pPr>
            <w:r>
              <w:rPr>
                <w:rFonts w:ascii="Arial" w:hAnsi="Arial" w:cs="Arial"/>
                <w:b/>
                <w:bCs/>
                <w:kern w:val="0"/>
                <w:sz w:val="20"/>
                <w:szCs w:val="20"/>
              </w:rPr>
              <w:t>Total</w:t>
            </w:r>
            <w:r>
              <w:rPr>
                <w:rFonts w:ascii="Arial" w:hAnsi="Arial" w:cs="Arial"/>
                <w:b/>
                <w:bCs/>
                <w:kern w:val="0"/>
                <w:sz w:val="20"/>
                <w:szCs w:val="20"/>
              </w:rPr>
              <w:br/>
              <w:t>£</w:t>
            </w:r>
          </w:p>
        </w:tc>
      </w:tr>
      <w:tr w:rsidR="002575C6" w14:paraId="06CDE26B" w14:textId="77777777">
        <w:tblPrEx>
          <w:tblCellMar>
            <w:top w:w="0" w:type="dxa"/>
            <w:left w:w="0" w:type="dxa"/>
            <w:bottom w:w="0" w:type="dxa"/>
            <w:right w:w="0" w:type="dxa"/>
          </w:tblCellMar>
        </w:tblPrEx>
        <w:tc>
          <w:tcPr>
            <w:tcW w:w="6197" w:type="dxa"/>
            <w:gridSpan w:val="3"/>
            <w:tcBorders>
              <w:top w:val="nil"/>
              <w:left w:val="nil"/>
              <w:bottom w:val="nil"/>
              <w:right w:val="nil"/>
            </w:tcBorders>
            <w:shd w:val="clear" w:color="auto" w:fill="FFFFFF"/>
            <w:vAlign w:val="bottom"/>
          </w:tcPr>
          <w:p w14:paraId="220B12F0"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Cost</w:t>
            </w:r>
          </w:p>
        </w:tc>
        <w:tc>
          <w:tcPr>
            <w:tcW w:w="1531" w:type="dxa"/>
            <w:gridSpan w:val="2"/>
            <w:tcBorders>
              <w:top w:val="nil"/>
              <w:left w:val="nil"/>
              <w:bottom w:val="nil"/>
              <w:right w:val="nil"/>
            </w:tcBorders>
            <w:shd w:val="clear" w:color="auto" w:fill="FFFFFF"/>
            <w:vAlign w:val="bottom"/>
          </w:tcPr>
          <w:p w14:paraId="1DE25842"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0F609201" w14:textId="77777777" w:rsidR="002575C6" w:rsidRDefault="002575C6">
            <w:pPr>
              <w:autoSpaceDE w:val="0"/>
              <w:autoSpaceDN w:val="0"/>
              <w:adjustRightInd w:val="0"/>
              <w:spacing w:after="0" w:line="240" w:lineRule="auto"/>
              <w:rPr>
                <w:rFonts w:ascii="Times New Roman" w:hAnsi="Times New Roman"/>
                <w:kern w:val="0"/>
              </w:rPr>
            </w:pPr>
          </w:p>
        </w:tc>
      </w:tr>
      <w:tr w:rsidR="002575C6" w14:paraId="1586D638" w14:textId="77777777">
        <w:tblPrEx>
          <w:tblCellMar>
            <w:top w:w="0" w:type="dxa"/>
            <w:left w:w="0" w:type="dxa"/>
            <w:bottom w:w="0" w:type="dxa"/>
            <w:right w:w="0" w:type="dxa"/>
          </w:tblCellMar>
        </w:tblPrEx>
        <w:tc>
          <w:tcPr>
            <w:tcW w:w="6197" w:type="dxa"/>
            <w:gridSpan w:val="3"/>
            <w:tcBorders>
              <w:top w:val="nil"/>
              <w:left w:val="nil"/>
              <w:bottom w:val="nil"/>
              <w:right w:val="nil"/>
            </w:tcBorders>
            <w:shd w:val="clear" w:color="auto" w:fill="FFFFFF"/>
            <w:vAlign w:val="bottom"/>
          </w:tcPr>
          <w:p w14:paraId="2373E33D"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At 1 April 2024</w:t>
            </w:r>
          </w:p>
        </w:tc>
        <w:tc>
          <w:tcPr>
            <w:tcW w:w="1531" w:type="dxa"/>
            <w:gridSpan w:val="2"/>
            <w:tcBorders>
              <w:top w:val="nil"/>
              <w:left w:val="nil"/>
              <w:bottom w:val="nil"/>
              <w:right w:val="nil"/>
            </w:tcBorders>
            <w:shd w:val="clear" w:color="auto" w:fill="FFFFFF"/>
            <w:vAlign w:val="bottom"/>
          </w:tcPr>
          <w:p w14:paraId="2FE14FC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c>
          <w:tcPr>
            <w:tcW w:w="1305" w:type="dxa"/>
            <w:tcBorders>
              <w:top w:val="nil"/>
              <w:left w:val="nil"/>
              <w:bottom w:val="nil"/>
              <w:right w:val="nil"/>
            </w:tcBorders>
            <w:shd w:val="clear" w:color="auto" w:fill="FFFFFF"/>
            <w:vAlign w:val="bottom"/>
          </w:tcPr>
          <w:p w14:paraId="71BDB2F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r>
      <w:tr w:rsidR="002575C6" w14:paraId="5DA42838" w14:textId="77777777">
        <w:tblPrEx>
          <w:tblCellMar>
            <w:top w:w="0" w:type="dxa"/>
            <w:left w:w="0" w:type="dxa"/>
            <w:bottom w:w="0" w:type="dxa"/>
            <w:right w:w="0" w:type="dxa"/>
          </w:tblCellMar>
        </w:tblPrEx>
        <w:tc>
          <w:tcPr>
            <w:tcW w:w="6197" w:type="dxa"/>
            <w:gridSpan w:val="3"/>
            <w:tcBorders>
              <w:top w:val="nil"/>
              <w:left w:val="nil"/>
              <w:bottom w:val="nil"/>
              <w:right w:val="nil"/>
            </w:tcBorders>
            <w:shd w:val="clear" w:color="auto" w:fill="FFFFFF"/>
            <w:vAlign w:val="bottom"/>
          </w:tcPr>
          <w:p w14:paraId="70D4CFD3"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Additions</w:t>
            </w:r>
          </w:p>
        </w:tc>
        <w:tc>
          <w:tcPr>
            <w:tcW w:w="1531" w:type="dxa"/>
            <w:gridSpan w:val="2"/>
            <w:tcBorders>
              <w:top w:val="nil"/>
              <w:left w:val="nil"/>
              <w:bottom w:val="single" w:sz="2" w:space="0" w:color="auto"/>
              <w:right w:val="nil"/>
            </w:tcBorders>
            <w:shd w:val="clear" w:color="auto" w:fill="FFFFFF"/>
            <w:vAlign w:val="bottom"/>
          </w:tcPr>
          <w:p w14:paraId="2F35B54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4,458</w:t>
            </w:r>
          </w:p>
        </w:tc>
        <w:tc>
          <w:tcPr>
            <w:tcW w:w="1305" w:type="dxa"/>
            <w:tcBorders>
              <w:top w:val="nil"/>
              <w:left w:val="nil"/>
              <w:bottom w:val="single" w:sz="2" w:space="0" w:color="auto"/>
              <w:right w:val="nil"/>
            </w:tcBorders>
            <w:shd w:val="clear" w:color="auto" w:fill="FFFFFF"/>
            <w:vAlign w:val="bottom"/>
          </w:tcPr>
          <w:p w14:paraId="3A7961A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4,458</w:t>
            </w:r>
          </w:p>
        </w:tc>
      </w:tr>
      <w:tr w:rsidR="002575C6" w14:paraId="70480198" w14:textId="77777777">
        <w:tblPrEx>
          <w:tblCellMar>
            <w:top w:w="0" w:type="dxa"/>
            <w:left w:w="0" w:type="dxa"/>
            <w:bottom w:w="0" w:type="dxa"/>
            <w:right w:w="0" w:type="dxa"/>
          </w:tblCellMar>
        </w:tblPrEx>
        <w:tc>
          <w:tcPr>
            <w:tcW w:w="6197" w:type="dxa"/>
            <w:gridSpan w:val="3"/>
            <w:tcBorders>
              <w:top w:val="nil"/>
              <w:left w:val="nil"/>
              <w:bottom w:val="nil"/>
              <w:right w:val="nil"/>
            </w:tcBorders>
            <w:shd w:val="clear" w:color="auto" w:fill="FFFFFF"/>
            <w:vAlign w:val="bottom"/>
          </w:tcPr>
          <w:p w14:paraId="7DA7E367"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At 31 March 2025</w:t>
            </w:r>
          </w:p>
        </w:tc>
        <w:tc>
          <w:tcPr>
            <w:tcW w:w="1531" w:type="dxa"/>
            <w:gridSpan w:val="2"/>
            <w:tcBorders>
              <w:top w:val="nil"/>
              <w:left w:val="nil"/>
              <w:bottom w:val="single" w:sz="2" w:space="0" w:color="auto"/>
              <w:right w:val="nil"/>
            </w:tcBorders>
            <w:shd w:val="clear" w:color="auto" w:fill="FFFFFF"/>
            <w:vAlign w:val="bottom"/>
          </w:tcPr>
          <w:p w14:paraId="2CCBD84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7,699</w:t>
            </w:r>
          </w:p>
        </w:tc>
        <w:tc>
          <w:tcPr>
            <w:tcW w:w="1305" w:type="dxa"/>
            <w:tcBorders>
              <w:top w:val="nil"/>
              <w:left w:val="nil"/>
              <w:bottom w:val="single" w:sz="2" w:space="0" w:color="auto"/>
              <w:right w:val="nil"/>
            </w:tcBorders>
            <w:shd w:val="clear" w:color="auto" w:fill="FFFFFF"/>
            <w:vAlign w:val="bottom"/>
          </w:tcPr>
          <w:p w14:paraId="23362C2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7,699</w:t>
            </w:r>
          </w:p>
        </w:tc>
      </w:tr>
      <w:tr w:rsidR="002575C6" w14:paraId="5583CA29" w14:textId="77777777">
        <w:tblPrEx>
          <w:tblCellMar>
            <w:top w:w="0" w:type="dxa"/>
            <w:left w:w="0" w:type="dxa"/>
            <w:bottom w:w="0" w:type="dxa"/>
            <w:right w:w="0" w:type="dxa"/>
          </w:tblCellMar>
        </w:tblPrEx>
        <w:tc>
          <w:tcPr>
            <w:tcW w:w="6197" w:type="dxa"/>
            <w:gridSpan w:val="3"/>
            <w:tcBorders>
              <w:top w:val="nil"/>
              <w:left w:val="nil"/>
              <w:bottom w:val="nil"/>
              <w:right w:val="nil"/>
            </w:tcBorders>
            <w:shd w:val="clear" w:color="auto" w:fill="FFFFFF"/>
            <w:vAlign w:val="bottom"/>
          </w:tcPr>
          <w:p w14:paraId="15721DFB"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Depreciation</w:t>
            </w:r>
          </w:p>
        </w:tc>
        <w:tc>
          <w:tcPr>
            <w:tcW w:w="1531" w:type="dxa"/>
            <w:gridSpan w:val="2"/>
            <w:tcBorders>
              <w:top w:val="nil"/>
              <w:left w:val="nil"/>
              <w:bottom w:val="nil"/>
              <w:right w:val="nil"/>
            </w:tcBorders>
            <w:shd w:val="clear" w:color="auto" w:fill="FFFFFF"/>
            <w:vAlign w:val="bottom"/>
          </w:tcPr>
          <w:p w14:paraId="55F4E01A"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2E462EF2" w14:textId="77777777" w:rsidR="002575C6" w:rsidRDefault="002575C6">
            <w:pPr>
              <w:autoSpaceDE w:val="0"/>
              <w:autoSpaceDN w:val="0"/>
              <w:adjustRightInd w:val="0"/>
              <w:spacing w:after="0" w:line="240" w:lineRule="auto"/>
              <w:rPr>
                <w:rFonts w:ascii="Times New Roman" w:hAnsi="Times New Roman"/>
                <w:kern w:val="0"/>
              </w:rPr>
            </w:pPr>
          </w:p>
        </w:tc>
      </w:tr>
      <w:tr w:rsidR="002575C6" w14:paraId="1B5B2709" w14:textId="77777777">
        <w:tblPrEx>
          <w:tblCellMar>
            <w:top w:w="0" w:type="dxa"/>
            <w:left w:w="0" w:type="dxa"/>
            <w:bottom w:w="0" w:type="dxa"/>
            <w:right w:w="0" w:type="dxa"/>
          </w:tblCellMar>
        </w:tblPrEx>
        <w:tc>
          <w:tcPr>
            <w:tcW w:w="6197" w:type="dxa"/>
            <w:gridSpan w:val="3"/>
            <w:tcBorders>
              <w:top w:val="nil"/>
              <w:left w:val="nil"/>
              <w:bottom w:val="nil"/>
              <w:right w:val="nil"/>
            </w:tcBorders>
            <w:shd w:val="clear" w:color="auto" w:fill="FFFFFF"/>
            <w:vAlign w:val="bottom"/>
          </w:tcPr>
          <w:p w14:paraId="3BEF7557"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Charge for the year</w:t>
            </w:r>
          </w:p>
        </w:tc>
        <w:tc>
          <w:tcPr>
            <w:tcW w:w="1531" w:type="dxa"/>
            <w:gridSpan w:val="2"/>
            <w:tcBorders>
              <w:top w:val="nil"/>
              <w:left w:val="nil"/>
              <w:bottom w:val="single" w:sz="2" w:space="0" w:color="auto"/>
              <w:right w:val="nil"/>
            </w:tcBorders>
            <w:shd w:val="clear" w:color="auto" w:fill="FFFFFF"/>
            <w:vAlign w:val="bottom"/>
          </w:tcPr>
          <w:p w14:paraId="6C755A6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2,562</w:t>
            </w:r>
          </w:p>
        </w:tc>
        <w:tc>
          <w:tcPr>
            <w:tcW w:w="1305" w:type="dxa"/>
            <w:tcBorders>
              <w:top w:val="nil"/>
              <w:left w:val="nil"/>
              <w:bottom w:val="single" w:sz="2" w:space="0" w:color="auto"/>
              <w:right w:val="nil"/>
            </w:tcBorders>
            <w:shd w:val="clear" w:color="auto" w:fill="FFFFFF"/>
            <w:vAlign w:val="bottom"/>
          </w:tcPr>
          <w:p w14:paraId="6D1A0C6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2,562</w:t>
            </w:r>
          </w:p>
        </w:tc>
      </w:tr>
      <w:tr w:rsidR="002575C6" w14:paraId="429032E2" w14:textId="77777777">
        <w:tblPrEx>
          <w:tblCellMar>
            <w:top w:w="0" w:type="dxa"/>
            <w:left w:w="0" w:type="dxa"/>
            <w:bottom w:w="0" w:type="dxa"/>
            <w:right w:w="0" w:type="dxa"/>
          </w:tblCellMar>
        </w:tblPrEx>
        <w:tc>
          <w:tcPr>
            <w:tcW w:w="6197" w:type="dxa"/>
            <w:gridSpan w:val="3"/>
            <w:tcBorders>
              <w:top w:val="nil"/>
              <w:left w:val="nil"/>
              <w:bottom w:val="nil"/>
              <w:right w:val="nil"/>
            </w:tcBorders>
            <w:shd w:val="clear" w:color="auto" w:fill="FFFFFF"/>
            <w:vAlign w:val="bottom"/>
          </w:tcPr>
          <w:p w14:paraId="12F546BC"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At 31 March 2025</w:t>
            </w:r>
          </w:p>
        </w:tc>
        <w:tc>
          <w:tcPr>
            <w:tcW w:w="1531" w:type="dxa"/>
            <w:gridSpan w:val="2"/>
            <w:tcBorders>
              <w:top w:val="nil"/>
              <w:left w:val="nil"/>
              <w:bottom w:val="single" w:sz="2" w:space="0" w:color="auto"/>
              <w:right w:val="nil"/>
            </w:tcBorders>
            <w:shd w:val="clear" w:color="auto" w:fill="FFFFFF"/>
            <w:vAlign w:val="bottom"/>
          </w:tcPr>
          <w:p w14:paraId="66A7523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2,562</w:t>
            </w:r>
          </w:p>
        </w:tc>
        <w:tc>
          <w:tcPr>
            <w:tcW w:w="1305" w:type="dxa"/>
            <w:tcBorders>
              <w:top w:val="nil"/>
              <w:left w:val="nil"/>
              <w:bottom w:val="single" w:sz="2" w:space="0" w:color="auto"/>
              <w:right w:val="nil"/>
            </w:tcBorders>
            <w:shd w:val="clear" w:color="auto" w:fill="FFFFFF"/>
            <w:vAlign w:val="bottom"/>
          </w:tcPr>
          <w:p w14:paraId="3C090EF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2,562</w:t>
            </w:r>
          </w:p>
        </w:tc>
      </w:tr>
      <w:tr w:rsidR="002575C6" w14:paraId="72071A1D" w14:textId="77777777">
        <w:tblPrEx>
          <w:tblCellMar>
            <w:top w:w="0" w:type="dxa"/>
            <w:left w:w="0" w:type="dxa"/>
            <w:bottom w:w="0" w:type="dxa"/>
            <w:right w:w="0" w:type="dxa"/>
          </w:tblCellMar>
        </w:tblPrEx>
        <w:tc>
          <w:tcPr>
            <w:tcW w:w="9033" w:type="dxa"/>
            <w:gridSpan w:val="6"/>
            <w:tcBorders>
              <w:top w:val="nil"/>
              <w:left w:val="nil"/>
              <w:bottom w:val="nil"/>
              <w:right w:val="nil"/>
            </w:tcBorders>
            <w:shd w:val="clear" w:color="auto" w:fill="FFFFFF"/>
            <w:vAlign w:val="bottom"/>
          </w:tcPr>
          <w:p w14:paraId="30FCEC6F"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Net book value</w:t>
            </w:r>
          </w:p>
        </w:tc>
      </w:tr>
      <w:tr w:rsidR="002575C6" w14:paraId="36671DE9" w14:textId="77777777">
        <w:tblPrEx>
          <w:tblCellMar>
            <w:top w:w="0" w:type="dxa"/>
            <w:left w:w="0" w:type="dxa"/>
            <w:bottom w:w="0" w:type="dxa"/>
            <w:right w:w="0" w:type="dxa"/>
          </w:tblCellMar>
        </w:tblPrEx>
        <w:tc>
          <w:tcPr>
            <w:tcW w:w="6197" w:type="dxa"/>
            <w:gridSpan w:val="3"/>
            <w:tcBorders>
              <w:top w:val="nil"/>
              <w:left w:val="nil"/>
              <w:bottom w:val="nil"/>
              <w:right w:val="nil"/>
            </w:tcBorders>
            <w:shd w:val="clear" w:color="auto" w:fill="FFFFFF"/>
            <w:vAlign w:val="bottom"/>
          </w:tcPr>
          <w:p w14:paraId="1581C8CB"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At 31 March 2025</w:t>
            </w:r>
          </w:p>
        </w:tc>
        <w:tc>
          <w:tcPr>
            <w:tcW w:w="1531" w:type="dxa"/>
            <w:gridSpan w:val="2"/>
            <w:tcBorders>
              <w:top w:val="nil"/>
              <w:left w:val="nil"/>
              <w:bottom w:val="double" w:sz="2" w:space="0" w:color="auto"/>
              <w:right w:val="nil"/>
            </w:tcBorders>
            <w:shd w:val="clear" w:color="auto" w:fill="FFFFFF"/>
            <w:vAlign w:val="bottom"/>
          </w:tcPr>
          <w:p w14:paraId="2F00C9C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5,137</w:t>
            </w:r>
          </w:p>
        </w:tc>
        <w:tc>
          <w:tcPr>
            <w:tcW w:w="1305" w:type="dxa"/>
            <w:tcBorders>
              <w:top w:val="nil"/>
              <w:left w:val="nil"/>
              <w:bottom w:val="double" w:sz="2" w:space="0" w:color="auto"/>
              <w:right w:val="nil"/>
            </w:tcBorders>
            <w:shd w:val="clear" w:color="auto" w:fill="FFFFFF"/>
            <w:vAlign w:val="bottom"/>
          </w:tcPr>
          <w:p w14:paraId="4C4962F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5,137</w:t>
            </w:r>
          </w:p>
        </w:tc>
      </w:tr>
      <w:tr w:rsidR="002575C6" w14:paraId="2A235211" w14:textId="77777777">
        <w:tblPrEx>
          <w:tblCellMar>
            <w:top w:w="0" w:type="dxa"/>
            <w:left w:w="0" w:type="dxa"/>
            <w:bottom w:w="0" w:type="dxa"/>
            <w:right w:w="0" w:type="dxa"/>
          </w:tblCellMar>
        </w:tblPrEx>
        <w:tc>
          <w:tcPr>
            <w:tcW w:w="6197" w:type="dxa"/>
            <w:gridSpan w:val="3"/>
            <w:tcBorders>
              <w:top w:val="nil"/>
              <w:left w:val="nil"/>
              <w:bottom w:val="nil"/>
              <w:right w:val="nil"/>
            </w:tcBorders>
            <w:shd w:val="clear" w:color="auto" w:fill="FFFFFF"/>
            <w:vAlign w:val="bottom"/>
          </w:tcPr>
          <w:p w14:paraId="2CF34E9C"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At 31 March 2024</w:t>
            </w:r>
          </w:p>
        </w:tc>
        <w:tc>
          <w:tcPr>
            <w:tcW w:w="1531" w:type="dxa"/>
            <w:gridSpan w:val="2"/>
            <w:tcBorders>
              <w:top w:val="nil"/>
              <w:left w:val="nil"/>
              <w:bottom w:val="double" w:sz="2" w:space="0" w:color="auto"/>
              <w:right w:val="nil"/>
            </w:tcBorders>
            <w:shd w:val="clear" w:color="auto" w:fill="FFFFFF"/>
            <w:vAlign w:val="bottom"/>
          </w:tcPr>
          <w:p w14:paraId="0D1B7DC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c>
          <w:tcPr>
            <w:tcW w:w="1305" w:type="dxa"/>
            <w:tcBorders>
              <w:top w:val="nil"/>
              <w:left w:val="nil"/>
              <w:bottom w:val="double" w:sz="2" w:space="0" w:color="auto"/>
              <w:right w:val="nil"/>
            </w:tcBorders>
            <w:shd w:val="clear" w:color="auto" w:fill="FFFFFF"/>
            <w:vAlign w:val="bottom"/>
          </w:tcPr>
          <w:p w14:paraId="72B5239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r>
      <w:tr w:rsidR="002575C6" w14:paraId="7474058F"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2810138B"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16</w:t>
            </w:r>
          </w:p>
        </w:tc>
        <w:tc>
          <w:tcPr>
            <w:tcW w:w="8750" w:type="dxa"/>
            <w:gridSpan w:val="5"/>
            <w:tcBorders>
              <w:top w:val="nil"/>
              <w:left w:val="nil"/>
              <w:bottom w:val="nil"/>
              <w:right w:val="nil"/>
            </w:tcBorders>
            <w:shd w:val="clear" w:color="auto" w:fill="FFFFFF"/>
            <w:vAlign w:val="center"/>
          </w:tcPr>
          <w:p w14:paraId="0BCA8C46"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Debtors</w:t>
            </w:r>
          </w:p>
        </w:tc>
      </w:tr>
      <w:tr w:rsidR="002575C6" w14:paraId="2BB1BDF2"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22063EA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gridSpan w:val="2"/>
            <w:tcBorders>
              <w:top w:val="nil"/>
              <w:left w:val="nil"/>
              <w:bottom w:val="nil"/>
              <w:right w:val="nil"/>
            </w:tcBorders>
            <w:shd w:val="clear" w:color="auto" w:fill="FFFFFF"/>
            <w:vAlign w:val="bottom"/>
          </w:tcPr>
          <w:p w14:paraId="649D6DB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c>
          <w:tcPr>
            <w:tcW w:w="1531" w:type="dxa"/>
            <w:gridSpan w:val="2"/>
            <w:tcBorders>
              <w:top w:val="nil"/>
              <w:left w:val="nil"/>
              <w:bottom w:val="nil"/>
              <w:right w:val="nil"/>
            </w:tcBorders>
            <w:shd w:val="clear" w:color="auto" w:fill="FFFFFF"/>
            <w:vAlign w:val="bottom"/>
          </w:tcPr>
          <w:p w14:paraId="06880844"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5702AA24"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5CD0AAF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Trade debtors</w:t>
            </w:r>
          </w:p>
        </w:tc>
        <w:tc>
          <w:tcPr>
            <w:tcW w:w="1531" w:type="dxa"/>
            <w:gridSpan w:val="2"/>
            <w:tcBorders>
              <w:top w:val="nil"/>
              <w:left w:val="nil"/>
              <w:bottom w:val="nil"/>
              <w:right w:val="nil"/>
            </w:tcBorders>
            <w:shd w:val="clear" w:color="auto" w:fill="FFFFFF"/>
            <w:vAlign w:val="bottom"/>
          </w:tcPr>
          <w:p w14:paraId="4C3B3BC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88,193</w:t>
            </w:r>
          </w:p>
        </w:tc>
        <w:tc>
          <w:tcPr>
            <w:tcW w:w="1531" w:type="dxa"/>
            <w:gridSpan w:val="2"/>
            <w:tcBorders>
              <w:top w:val="nil"/>
              <w:left w:val="nil"/>
              <w:bottom w:val="nil"/>
              <w:right w:val="nil"/>
            </w:tcBorders>
            <w:shd w:val="clear" w:color="auto" w:fill="FFFFFF"/>
            <w:vAlign w:val="bottom"/>
          </w:tcPr>
          <w:p w14:paraId="1770A1F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17,867</w:t>
            </w:r>
          </w:p>
        </w:tc>
      </w:tr>
      <w:tr w:rsidR="002575C6" w14:paraId="662E6FC4"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1C461B5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Prepayments</w:t>
            </w:r>
          </w:p>
        </w:tc>
        <w:tc>
          <w:tcPr>
            <w:tcW w:w="1531" w:type="dxa"/>
            <w:gridSpan w:val="2"/>
            <w:tcBorders>
              <w:top w:val="nil"/>
              <w:left w:val="nil"/>
              <w:bottom w:val="nil"/>
              <w:right w:val="nil"/>
            </w:tcBorders>
            <w:shd w:val="clear" w:color="auto" w:fill="FFFFFF"/>
            <w:vAlign w:val="bottom"/>
          </w:tcPr>
          <w:p w14:paraId="4894BB6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2,996</w:t>
            </w:r>
          </w:p>
        </w:tc>
        <w:tc>
          <w:tcPr>
            <w:tcW w:w="1531" w:type="dxa"/>
            <w:gridSpan w:val="2"/>
            <w:tcBorders>
              <w:top w:val="nil"/>
              <w:left w:val="nil"/>
              <w:bottom w:val="nil"/>
              <w:right w:val="nil"/>
            </w:tcBorders>
            <w:shd w:val="clear" w:color="auto" w:fill="FFFFFF"/>
            <w:vAlign w:val="bottom"/>
          </w:tcPr>
          <w:p w14:paraId="0CE5C7C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1,994</w:t>
            </w:r>
          </w:p>
        </w:tc>
      </w:tr>
      <w:tr w:rsidR="002575C6" w14:paraId="5F143789"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1E8294D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debtors</w:t>
            </w:r>
          </w:p>
        </w:tc>
        <w:tc>
          <w:tcPr>
            <w:tcW w:w="1531" w:type="dxa"/>
            <w:gridSpan w:val="2"/>
            <w:tcBorders>
              <w:top w:val="nil"/>
              <w:left w:val="nil"/>
              <w:bottom w:val="single" w:sz="2" w:space="0" w:color="auto"/>
              <w:right w:val="nil"/>
            </w:tcBorders>
            <w:shd w:val="clear" w:color="auto" w:fill="FFFFFF"/>
            <w:vAlign w:val="bottom"/>
          </w:tcPr>
          <w:p w14:paraId="1293A48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313</w:t>
            </w:r>
          </w:p>
        </w:tc>
        <w:tc>
          <w:tcPr>
            <w:tcW w:w="1531" w:type="dxa"/>
            <w:gridSpan w:val="2"/>
            <w:tcBorders>
              <w:top w:val="nil"/>
              <w:left w:val="nil"/>
              <w:bottom w:val="single" w:sz="2" w:space="0" w:color="auto"/>
              <w:right w:val="nil"/>
            </w:tcBorders>
            <w:shd w:val="clear" w:color="auto" w:fill="FFFFFF"/>
            <w:vAlign w:val="bottom"/>
          </w:tcPr>
          <w:p w14:paraId="451C05B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r>
      <w:tr w:rsidR="002575C6" w14:paraId="3A871750"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25A37EDA" w14:textId="77777777" w:rsidR="002575C6" w:rsidRDefault="002575C6">
            <w:pPr>
              <w:autoSpaceDE w:val="0"/>
              <w:autoSpaceDN w:val="0"/>
              <w:adjustRightInd w:val="0"/>
              <w:spacing w:after="0" w:line="240" w:lineRule="auto"/>
              <w:rPr>
                <w:rFonts w:ascii="Times New Roman" w:hAnsi="Times New Roman"/>
                <w:kern w:val="0"/>
              </w:rPr>
            </w:pPr>
          </w:p>
        </w:tc>
        <w:tc>
          <w:tcPr>
            <w:tcW w:w="1531" w:type="dxa"/>
            <w:gridSpan w:val="2"/>
            <w:tcBorders>
              <w:top w:val="nil"/>
              <w:left w:val="nil"/>
              <w:bottom w:val="double" w:sz="2" w:space="0" w:color="auto"/>
              <w:right w:val="nil"/>
            </w:tcBorders>
            <w:shd w:val="clear" w:color="auto" w:fill="FFFFFF"/>
            <w:vAlign w:val="bottom"/>
          </w:tcPr>
          <w:p w14:paraId="0C46433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91,502</w:t>
            </w:r>
          </w:p>
        </w:tc>
        <w:tc>
          <w:tcPr>
            <w:tcW w:w="1531" w:type="dxa"/>
            <w:gridSpan w:val="2"/>
            <w:tcBorders>
              <w:top w:val="nil"/>
              <w:left w:val="nil"/>
              <w:bottom w:val="double" w:sz="2" w:space="0" w:color="auto"/>
              <w:right w:val="nil"/>
            </w:tcBorders>
            <w:shd w:val="clear" w:color="auto" w:fill="FFFFFF"/>
            <w:vAlign w:val="bottom"/>
          </w:tcPr>
          <w:p w14:paraId="7E8E776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19,861</w:t>
            </w:r>
          </w:p>
        </w:tc>
      </w:tr>
      <w:tr w:rsidR="002575C6" w14:paraId="276343F6"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6B9625C3"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17</w:t>
            </w:r>
          </w:p>
        </w:tc>
        <w:tc>
          <w:tcPr>
            <w:tcW w:w="8750" w:type="dxa"/>
            <w:gridSpan w:val="5"/>
            <w:tcBorders>
              <w:top w:val="nil"/>
              <w:left w:val="nil"/>
              <w:bottom w:val="nil"/>
              <w:right w:val="nil"/>
            </w:tcBorders>
            <w:shd w:val="clear" w:color="auto" w:fill="FFFFFF"/>
            <w:vAlign w:val="center"/>
          </w:tcPr>
          <w:p w14:paraId="7A33918A"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Cash and cash equivalents</w:t>
            </w:r>
          </w:p>
        </w:tc>
      </w:tr>
      <w:tr w:rsidR="002575C6" w14:paraId="57374EFC"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2632EC57" w14:textId="77777777" w:rsidR="002575C6" w:rsidRDefault="002575C6">
            <w:pPr>
              <w:autoSpaceDE w:val="0"/>
              <w:autoSpaceDN w:val="0"/>
              <w:adjustRightInd w:val="0"/>
              <w:spacing w:after="0" w:line="240" w:lineRule="auto"/>
              <w:rPr>
                <w:rFonts w:ascii="Times New Roman" w:hAnsi="Times New Roman"/>
                <w:kern w:val="0"/>
              </w:rPr>
            </w:pPr>
          </w:p>
        </w:tc>
        <w:tc>
          <w:tcPr>
            <w:tcW w:w="1531" w:type="dxa"/>
            <w:gridSpan w:val="2"/>
            <w:tcBorders>
              <w:top w:val="nil"/>
              <w:left w:val="nil"/>
              <w:bottom w:val="nil"/>
              <w:right w:val="nil"/>
            </w:tcBorders>
            <w:shd w:val="clear" w:color="auto" w:fill="FFFFFF"/>
            <w:vAlign w:val="bottom"/>
          </w:tcPr>
          <w:p w14:paraId="0AA19362"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c>
          <w:tcPr>
            <w:tcW w:w="1531" w:type="dxa"/>
            <w:gridSpan w:val="2"/>
            <w:tcBorders>
              <w:top w:val="nil"/>
              <w:left w:val="nil"/>
              <w:bottom w:val="nil"/>
              <w:right w:val="nil"/>
            </w:tcBorders>
            <w:shd w:val="clear" w:color="auto" w:fill="FFFFFF"/>
            <w:vAlign w:val="bottom"/>
          </w:tcPr>
          <w:p w14:paraId="739FDEE8"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4D5B2141"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7FDDF82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Cash at bank</w:t>
            </w:r>
          </w:p>
        </w:tc>
        <w:tc>
          <w:tcPr>
            <w:tcW w:w="1531" w:type="dxa"/>
            <w:gridSpan w:val="2"/>
            <w:tcBorders>
              <w:top w:val="nil"/>
              <w:left w:val="nil"/>
              <w:bottom w:val="double" w:sz="2" w:space="0" w:color="auto"/>
              <w:right w:val="nil"/>
            </w:tcBorders>
            <w:shd w:val="clear" w:color="auto" w:fill="FFFFFF"/>
            <w:vAlign w:val="bottom"/>
          </w:tcPr>
          <w:p w14:paraId="0186E65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226,878</w:t>
            </w:r>
          </w:p>
        </w:tc>
        <w:tc>
          <w:tcPr>
            <w:tcW w:w="1531" w:type="dxa"/>
            <w:gridSpan w:val="2"/>
            <w:tcBorders>
              <w:top w:val="nil"/>
              <w:left w:val="nil"/>
              <w:bottom w:val="double" w:sz="2" w:space="0" w:color="auto"/>
              <w:right w:val="nil"/>
            </w:tcBorders>
            <w:shd w:val="clear" w:color="auto" w:fill="FFFFFF"/>
            <w:vAlign w:val="bottom"/>
          </w:tcPr>
          <w:p w14:paraId="2F4035C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194,231</w:t>
            </w:r>
          </w:p>
        </w:tc>
      </w:tr>
    </w:tbl>
    <w:p w14:paraId="3C178E6C"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43"/>
          <w:pgSz w:w="11909" w:h="16834"/>
          <w:pgMar w:top="1440" w:right="1440" w:bottom="1440" w:left="1440" w:header="720" w:footer="720" w:gutter="0"/>
          <w:cols w:space="720"/>
          <w:noEndnote/>
        </w:sectPr>
      </w:pPr>
    </w:p>
    <w:p w14:paraId="6EBF924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65AE3B0"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5686"/>
        <w:gridCol w:w="1531"/>
        <w:gridCol w:w="1533"/>
      </w:tblGrid>
      <w:tr w:rsidR="002575C6" w14:paraId="587C6000"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27DDBE91"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18</w:t>
            </w:r>
          </w:p>
        </w:tc>
        <w:tc>
          <w:tcPr>
            <w:tcW w:w="8750" w:type="dxa"/>
            <w:gridSpan w:val="3"/>
            <w:tcBorders>
              <w:top w:val="nil"/>
              <w:left w:val="nil"/>
              <w:bottom w:val="nil"/>
              <w:right w:val="nil"/>
            </w:tcBorders>
            <w:shd w:val="clear" w:color="auto" w:fill="FFFFFF"/>
            <w:vAlign w:val="center"/>
          </w:tcPr>
          <w:p w14:paraId="00E47C2C"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Creditors: amounts falling due within one year</w:t>
            </w:r>
          </w:p>
        </w:tc>
      </w:tr>
      <w:tr w:rsidR="002575C6" w14:paraId="7A7D615E"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367BCCCC"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466C8986"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CE4A43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071AEC1D"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370D4F9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Trade creditors</w:t>
            </w:r>
          </w:p>
        </w:tc>
        <w:tc>
          <w:tcPr>
            <w:tcW w:w="1531" w:type="dxa"/>
            <w:tcBorders>
              <w:top w:val="nil"/>
              <w:left w:val="nil"/>
              <w:bottom w:val="nil"/>
              <w:right w:val="nil"/>
            </w:tcBorders>
            <w:shd w:val="clear" w:color="auto" w:fill="FFFFFF"/>
            <w:vAlign w:val="bottom"/>
          </w:tcPr>
          <w:p w14:paraId="14B3BBE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375</w:t>
            </w:r>
          </w:p>
        </w:tc>
        <w:tc>
          <w:tcPr>
            <w:tcW w:w="1531" w:type="dxa"/>
            <w:tcBorders>
              <w:top w:val="nil"/>
              <w:left w:val="nil"/>
              <w:bottom w:val="nil"/>
              <w:right w:val="nil"/>
            </w:tcBorders>
            <w:shd w:val="clear" w:color="auto" w:fill="FFFFFF"/>
            <w:vAlign w:val="bottom"/>
          </w:tcPr>
          <w:p w14:paraId="4E3CA1E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2,768</w:t>
            </w:r>
          </w:p>
        </w:tc>
      </w:tr>
      <w:tr w:rsidR="002575C6" w14:paraId="63C5C3CA"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2EE0D0E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Taxation and social security</w:t>
            </w:r>
          </w:p>
        </w:tc>
        <w:tc>
          <w:tcPr>
            <w:tcW w:w="1531" w:type="dxa"/>
            <w:tcBorders>
              <w:top w:val="nil"/>
              <w:left w:val="nil"/>
              <w:bottom w:val="nil"/>
              <w:right w:val="nil"/>
            </w:tcBorders>
            <w:shd w:val="clear" w:color="auto" w:fill="FFFFFF"/>
            <w:vAlign w:val="bottom"/>
          </w:tcPr>
          <w:p w14:paraId="01BBFD6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15,801</w:t>
            </w:r>
          </w:p>
        </w:tc>
        <w:tc>
          <w:tcPr>
            <w:tcW w:w="1531" w:type="dxa"/>
            <w:tcBorders>
              <w:top w:val="nil"/>
              <w:left w:val="nil"/>
              <w:bottom w:val="nil"/>
              <w:right w:val="nil"/>
            </w:tcBorders>
            <w:shd w:val="clear" w:color="auto" w:fill="FFFFFF"/>
            <w:vAlign w:val="bottom"/>
          </w:tcPr>
          <w:p w14:paraId="23F4073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11,063</w:t>
            </w:r>
          </w:p>
        </w:tc>
      </w:tr>
      <w:tr w:rsidR="002575C6" w14:paraId="656712C0"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34F5021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creditors</w:t>
            </w:r>
          </w:p>
        </w:tc>
        <w:tc>
          <w:tcPr>
            <w:tcW w:w="1531" w:type="dxa"/>
            <w:tcBorders>
              <w:top w:val="nil"/>
              <w:left w:val="nil"/>
              <w:bottom w:val="nil"/>
              <w:right w:val="nil"/>
            </w:tcBorders>
            <w:shd w:val="clear" w:color="auto" w:fill="FFFFFF"/>
            <w:vAlign w:val="bottom"/>
          </w:tcPr>
          <w:p w14:paraId="365CE5F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2,142</w:t>
            </w:r>
          </w:p>
        </w:tc>
        <w:tc>
          <w:tcPr>
            <w:tcW w:w="1531" w:type="dxa"/>
            <w:tcBorders>
              <w:top w:val="nil"/>
              <w:left w:val="nil"/>
              <w:bottom w:val="nil"/>
              <w:right w:val="nil"/>
            </w:tcBorders>
            <w:shd w:val="clear" w:color="auto" w:fill="FFFFFF"/>
            <w:vAlign w:val="bottom"/>
          </w:tcPr>
          <w:p w14:paraId="24EE4F5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1,835</w:t>
            </w:r>
          </w:p>
        </w:tc>
      </w:tr>
      <w:tr w:rsidR="002575C6" w14:paraId="5B30B0EE"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3E472E89"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Accruals</w:t>
            </w:r>
          </w:p>
        </w:tc>
        <w:tc>
          <w:tcPr>
            <w:tcW w:w="1531" w:type="dxa"/>
            <w:tcBorders>
              <w:top w:val="nil"/>
              <w:left w:val="nil"/>
              <w:bottom w:val="single" w:sz="2" w:space="0" w:color="auto"/>
              <w:right w:val="nil"/>
            </w:tcBorders>
            <w:shd w:val="clear" w:color="auto" w:fill="FFFFFF"/>
            <w:vAlign w:val="bottom"/>
          </w:tcPr>
          <w:p w14:paraId="4BD10EF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2,460</w:t>
            </w:r>
          </w:p>
        </w:tc>
        <w:tc>
          <w:tcPr>
            <w:tcW w:w="1531" w:type="dxa"/>
            <w:tcBorders>
              <w:top w:val="nil"/>
              <w:left w:val="nil"/>
              <w:bottom w:val="single" w:sz="2" w:space="0" w:color="auto"/>
              <w:right w:val="nil"/>
            </w:tcBorders>
            <w:shd w:val="clear" w:color="auto" w:fill="FFFFFF"/>
            <w:vAlign w:val="bottom"/>
          </w:tcPr>
          <w:p w14:paraId="2E38FC3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r>
      <w:tr w:rsidR="002575C6" w14:paraId="4026C4B8" w14:textId="77777777">
        <w:tblPrEx>
          <w:tblCellMar>
            <w:top w:w="0" w:type="dxa"/>
            <w:left w:w="0" w:type="dxa"/>
            <w:bottom w:w="0" w:type="dxa"/>
            <w:right w:w="0" w:type="dxa"/>
          </w:tblCellMar>
        </w:tblPrEx>
        <w:tc>
          <w:tcPr>
            <w:tcW w:w="5970" w:type="dxa"/>
            <w:gridSpan w:val="2"/>
            <w:tcBorders>
              <w:top w:val="nil"/>
              <w:left w:val="nil"/>
              <w:bottom w:val="nil"/>
              <w:right w:val="nil"/>
            </w:tcBorders>
            <w:shd w:val="clear" w:color="auto" w:fill="FFFFFF"/>
            <w:vAlign w:val="bottom"/>
          </w:tcPr>
          <w:p w14:paraId="76008A5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0DC799A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20,778</w:t>
            </w:r>
          </w:p>
        </w:tc>
        <w:tc>
          <w:tcPr>
            <w:tcW w:w="1531" w:type="dxa"/>
            <w:tcBorders>
              <w:top w:val="nil"/>
              <w:left w:val="nil"/>
              <w:bottom w:val="double" w:sz="2" w:space="0" w:color="auto"/>
              <w:right w:val="nil"/>
            </w:tcBorders>
            <w:shd w:val="clear" w:color="auto" w:fill="FFFFFF"/>
            <w:vAlign w:val="bottom"/>
          </w:tcPr>
          <w:p w14:paraId="3D5D523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15,666</w:t>
            </w:r>
          </w:p>
        </w:tc>
      </w:tr>
      <w:tr w:rsidR="002575C6" w14:paraId="3232A12D"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2A55930C"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19</w:t>
            </w:r>
          </w:p>
        </w:tc>
        <w:tc>
          <w:tcPr>
            <w:tcW w:w="8750" w:type="dxa"/>
            <w:gridSpan w:val="3"/>
            <w:tcBorders>
              <w:top w:val="nil"/>
              <w:left w:val="nil"/>
              <w:bottom w:val="nil"/>
              <w:right w:val="nil"/>
            </w:tcBorders>
            <w:shd w:val="clear" w:color="auto" w:fill="FFFFFF"/>
            <w:vAlign w:val="center"/>
          </w:tcPr>
          <w:p w14:paraId="2FF702C9"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Pension and other schemes</w:t>
            </w:r>
          </w:p>
        </w:tc>
      </w:tr>
    </w:tbl>
    <w:p w14:paraId="5B5E121D"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sz w:val="20"/>
          <w:szCs w:val="20"/>
        </w:rPr>
        <w:t>Defined contribution pension scheme</w:t>
      </w:r>
    </w:p>
    <w:p w14:paraId="42E9C96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Charity operates a defined contribution pension scheme. The pension cost charge for the year represents contributions payable by the Charity to the scheme and amounted to £10,022 (2024 - £8,642).</w:t>
      </w:r>
    </w:p>
    <w:tbl>
      <w:tblPr>
        <w:tblW w:w="0" w:type="auto"/>
        <w:tblLayout w:type="fixed"/>
        <w:tblCellMar>
          <w:left w:w="0" w:type="dxa"/>
          <w:right w:w="0" w:type="dxa"/>
        </w:tblCellMar>
        <w:tblLook w:val="0000" w:firstRow="0" w:lastRow="0" w:firstColumn="0" w:lastColumn="0" w:noHBand="0" w:noVBand="0"/>
      </w:tblPr>
      <w:tblGrid>
        <w:gridCol w:w="284"/>
        <w:gridCol w:w="2226"/>
        <w:gridCol w:w="1305"/>
        <w:gridCol w:w="1305"/>
        <w:gridCol w:w="1305"/>
        <w:gridCol w:w="1305"/>
        <w:gridCol w:w="1305"/>
      </w:tblGrid>
      <w:tr w:rsidR="002575C6" w14:paraId="40E76CC2"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1DE0AA0C"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20</w:t>
            </w:r>
          </w:p>
        </w:tc>
        <w:tc>
          <w:tcPr>
            <w:tcW w:w="8750" w:type="dxa"/>
            <w:gridSpan w:val="6"/>
            <w:tcBorders>
              <w:top w:val="nil"/>
              <w:left w:val="nil"/>
              <w:bottom w:val="nil"/>
              <w:right w:val="nil"/>
            </w:tcBorders>
            <w:shd w:val="clear" w:color="auto" w:fill="FFFFFF"/>
            <w:vAlign w:val="center"/>
          </w:tcPr>
          <w:p w14:paraId="4EE84D39"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Funds</w:t>
            </w:r>
          </w:p>
        </w:tc>
      </w:tr>
      <w:tr w:rsidR="002575C6" w14:paraId="4A372D48"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09441B48"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14D7539A"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Balance at 1 April 2024</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23AF0880"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Incoming resources</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0CE5C9E7"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Resources expended</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667F6D9F"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Transfers</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419D4A46"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Balance at 31 March 2025</w:t>
            </w:r>
            <w:r>
              <w:rPr>
                <w:rFonts w:ascii="Arial" w:hAnsi="Arial" w:cs="Arial"/>
                <w:b/>
                <w:bCs/>
                <w:kern w:val="0"/>
                <w:sz w:val="20"/>
                <w:szCs w:val="20"/>
              </w:rPr>
              <w:br/>
              <w:t>£</w:t>
            </w:r>
          </w:p>
        </w:tc>
      </w:tr>
      <w:tr w:rsidR="002575C6" w14:paraId="07F1468C" w14:textId="77777777">
        <w:tblPrEx>
          <w:tblCellMar>
            <w:top w:w="0" w:type="dxa"/>
            <w:left w:w="0" w:type="dxa"/>
            <w:bottom w:w="0" w:type="dxa"/>
            <w:right w:w="0" w:type="dxa"/>
          </w:tblCellMar>
        </w:tblPrEx>
        <w:tc>
          <w:tcPr>
            <w:tcW w:w="9033" w:type="dxa"/>
            <w:gridSpan w:val="7"/>
            <w:tcBorders>
              <w:top w:val="nil"/>
              <w:left w:val="nil"/>
              <w:bottom w:val="nil"/>
              <w:right w:val="nil"/>
            </w:tcBorders>
            <w:shd w:val="clear" w:color="auto" w:fill="FFFFFF"/>
            <w:vAlign w:val="bottom"/>
          </w:tcPr>
          <w:p w14:paraId="41D0F26E"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Unrestricted funds</w:t>
            </w:r>
          </w:p>
        </w:tc>
      </w:tr>
      <w:tr w:rsidR="002575C6" w14:paraId="126D774E"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4E2C2181"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i/>
                <w:iCs/>
                <w:kern w:val="0"/>
                <w:sz w:val="20"/>
                <w:szCs w:val="20"/>
              </w:rPr>
              <w:t>General</w:t>
            </w:r>
          </w:p>
        </w:tc>
        <w:tc>
          <w:tcPr>
            <w:tcW w:w="1305" w:type="dxa"/>
            <w:tcBorders>
              <w:top w:val="nil"/>
              <w:left w:val="nil"/>
              <w:bottom w:val="nil"/>
              <w:right w:val="nil"/>
            </w:tcBorders>
            <w:shd w:val="clear" w:color="auto" w:fill="FFFFFF"/>
            <w:vAlign w:val="bottom"/>
          </w:tcPr>
          <w:p w14:paraId="0E0E37FE"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5286D4DA"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19A09746"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40D8175F"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3D05612B" w14:textId="77777777" w:rsidR="002575C6" w:rsidRDefault="002575C6">
            <w:pPr>
              <w:autoSpaceDE w:val="0"/>
              <w:autoSpaceDN w:val="0"/>
              <w:adjustRightInd w:val="0"/>
              <w:spacing w:after="0" w:line="240" w:lineRule="auto"/>
              <w:rPr>
                <w:rFonts w:ascii="Times New Roman" w:hAnsi="Times New Roman"/>
                <w:kern w:val="0"/>
              </w:rPr>
            </w:pPr>
          </w:p>
        </w:tc>
      </w:tr>
      <w:tr w:rsidR="002575C6" w14:paraId="260319B2"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0C86A628"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 xml:space="preserve">General Funds </w:t>
            </w:r>
          </w:p>
        </w:tc>
        <w:tc>
          <w:tcPr>
            <w:tcW w:w="1305" w:type="dxa"/>
            <w:tcBorders>
              <w:top w:val="nil"/>
              <w:left w:val="nil"/>
              <w:bottom w:val="nil"/>
              <w:right w:val="nil"/>
            </w:tcBorders>
            <w:shd w:val="clear" w:color="auto" w:fill="FFFFFF"/>
            <w:vAlign w:val="bottom"/>
          </w:tcPr>
          <w:p w14:paraId="24A1169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190,949</w:t>
            </w:r>
          </w:p>
        </w:tc>
        <w:tc>
          <w:tcPr>
            <w:tcW w:w="1305" w:type="dxa"/>
            <w:tcBorders>
              <w:top w:val="nil"/>
              <w:left w:val="nil"/>
              <w:bottom w:val="nil"/>
              <w:right w:val="nil"/>
            </w:tcBorders>
            <w:shd w:val="clear" w:color="auto" w:fill="FFFFFF"/>
            <w:vAlign w:val="bottom"/>
          </w:tcPr>
          <w:p w14:paraId="52EB577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365,730</w:t>
            </w:r>
          </w:p>
        </w:tc>
        <w:tc>
          <w:tcPr>
            <w:tcW w:w="1305" w:type="dxa"/>
            <w:tcBorders>
              <w:top w:val="nil"/>
              <w:left w:val="nil"/>
              <w:bottom w:val="nil"/>
              <w:right w:val="nil"/>
            </w:tcBorders>
            <w:shd w:val="clear" w:color="auto" w:fill="FFFFFF"/>
            <w:vAlign w:val="bottom"/>
          </w:tcPr>
          <w:p w14:paraId="2987898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(271,362)</w:t>
            </w:r>
          </w:p>
        </w:tc>
        <w:tc>
          <w:tcPr>
            <w:tcW w:w="1305" w:type="dxa"/>
            <w:tcBorders>
              <w:top w:val="nil"/>
              <w:left w:val="nil"/>
              <w:bottom w:val="nil"/>
              <w:right w:val="nil"/>
            </w:tcBorders>
            <w:shd w:val="clear" w:color="auto" w:fill="FFFFFF"/>
            <w:vAlign w:val="bottom"/>
          </w:tcPr>
          <w:p w14:paraId="4FB418A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(18,114)</w:t>
            </w:r>
          </w:p>
        </w:tc>
        <w:tc>
          <w:tcPr>
            <w:tcW w:w="1305" w:type="dxa"/>
            <w:tcBorders>
              <w:top w:val="nil"/>
              <w:left w:val="nil"/>
              <w:bottom w:val="nil"/>
              <w:right w:val="nil"/>
            </w:tcBorders>
            <w:shd w:val="clear" w:color="auto" w:fill="FFFFFF"/>
            <w:vAlign w:val="bottom"/>
          </w:tcPr>
          <w:p w14:paraId="4B23586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267,203</w:t>
            </w:r>
          </w:p>
        </w:tc>
      </w:tr>
      <w:tr w:rsidR="002575C6" w14:paraId="5C033E6C"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5FFD96E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Chris Humphreys Memorial Fund</w:t>
            </w:r>
          </w:p>
        </w:tc>
        <w:tc>
          <w:tcPr>
            <w:tcW w:w="1305" w:type="dxa"/>
            <w:tcBorders>
              <w:top w:val="nil"/>
              <w:left w:val="nil"/>
              <w:bottom w:val="nil"/>
              <w:right w:val="nil"/>
            </w:tcBorders>
            <w:shd w:val="clear" w:color="auto" w:fill="FFFFFF"/>
            <w:vAlign w:val="bottom"/>
          </w:tcPr>
          <w:p w14:paraId="1E941D6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2,593</w:t>
            </w:r>
          </w:p>
        </w:tc>
        <w:tc>
          <w:tcPr>
            <w:tcW w:w="1305" w:type="dxa"/>
            <w:tcBorders>
              <w:top w:val="nil"/>
              <w:left w:val="nil"/>
              <w:bottom w:val="nil"/>
              <w:right w:val="nil"/>
            </w:tcBorders>
            <w:shd w:val="clear" w:color="auto" w:fill="FFFFFF"/>
            <w:vAlign w:val="bottom"/>
          </w:tcPr>
          <w:p w14:paraId="3339A6D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45C1F0C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(2,167)</w:t>
            </w:r>
          </w:p>
        </w:tc>
        <w:tc>
          <w:tcPr>
            <w:tcW w:w="1305" w:type="dxa"/>
            <w:tcBorders>
              <w:top w:val="nil"/>
              <w:left w:val="nil"/>
              <w:bottom w:val="nil"/>
              <w:right w:val="nil"/>
            </w:tcBorders>
            <w:shd w:val="clear" w:color="auto" w:fill="FFFFFF"/>
            <w:vAlign w:val="bottom"/>
          </w:tcPr>
          <w:p w14:paraId="3C3DD88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2BA7B62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426</w:t>
            </w:r>
          </w:p>
        </w:tc>
      </w:tr>
      <w:tr w:rsidR="002575C6" w14:paraId="327765FB"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037E89A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Conference Weekend</w:t>
            </w:r>
          </w:p>
        </w:tc>
        <w:tc>
          <w:tcPr>
            <w:tcW w:w="1305" w:type="dxa"/>
            <w:tcBorders>
              <w:top w:val="nil"/>
              <w:left w:val="nil"/>
              <w:bottom w:val="nil"/>
              <w:right w:val="nil"/>
            </w:tcBorders>
            <w:shd w:val="clear" w:color="auto" w:fill="FFFFFF"/>
            <w:vAlign w:val="bottom"/>
          </w:tcPr>
          <w:p w14:paraId="2874A6E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1,049</w:t>
            </w:r>
          </w:p>
        </w:tc>
        <w:tc>
          <w:tcPr>
            <w:tcW w:w="1305" w:type="dxa"/>
            <w:tcBorders>
              <w:top w:val="nil"/>
              <w:left w:val="nil"/>
              <w:bottom w:val="nil"/>
              <w:right w:val="nil"/>
            </w:tcBorders>
            <w:shd w:val="clear" w:color="auto" w:fill="FFFFFF"/>
            <w:vAlign w:val="bottom"/>
          </w:tcPr>
          <w:p w14:paraId="1E3321A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2A9F506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(9,498)</w:t>
            </w:r>
          </w:p>
        </w:tc>
        <w:tc>
          <w:tcPr>
            <w:tcW w:w="1305" w:type="dxa"/>
            <w:tcBorders>
              <w:top w:val="nil"/>
              <w:left w:val="nil"/>
              <w:bottom w:val="nil"/>
              <w:right w:val="nil"/>
            </w:tcBorders>
            <w:shd w:val="clear" w:color="auto" w:fill="FFFFFF"/>
            <w:vAlign w:val="bottom"/>
          </w:tcPr>
          <w:p w14:paraId="3CDB2FA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11,451</w:t>
            </w:r>
          </w:p>
        </w:tc>
        <w:tc>
          <w:tcPr>
            <w:tcW w:w="1305" w:type="dxa"/>
            <w:tcBorders>
              <w:top w:val="nil"/>
              <w:left w:val="nil"/>
              <w:bottom w:val="nil"/>
              <w:right w:val="nil"/>
            </w:tcBorders>
            <w:shd w:val="clear" w:color="auto" w:fill="FFFFFF"/>
            <w:vAlign w:val="bottom"/>
          </w:tcPr>
          <w:p w14:paraId="3FBF8C5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3,002</w:t>
            </w:r>
          </w:p>
        </w:tc>
      </w:tr>
      <w:tr w:rsidR="002575C6" w14:paraId="55BA89A5"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29902481"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IT Equipment Fund</w:t>
            </w:r>
          </w:p>
        </w:tc>
        <w:tc>
          <w:tcPr>
            <w:tcW w:w="1305" w:type="dxa"/>
            <w:tcBorders>
              <w:top w:val="nil"/>
              <w:left w:val="nil"/>
              <w:bottom w:val="nil"/>
              <w:right w:val="nil"/>
            </w:tcBorders>
            <w:shd w:val="clear" w:color="auto" w:fill="FFFFFF"/>
            <w:vAlign w:val="bottom"/>
          </w:tcPr>
          <w:p w14:paraId="19D525E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1,045</w:t>
            </w:r>
          </w:p>
        </w:tc>
        <w:tc>
          <w:tcPr>
            <w:tcW w:w="1305" w:type="dxa"/>
            <w:tcBorders>
              <w:top w:val="nil"/>
              <w:left w:val="nil"/>
              <w:bottom w:val="nil"/>
              <w:right w:val="nil"/>
            </w:tcBorders>
            <w:shd w:val="clear" w:color="auto" w:fill="FFFFFF"/>
            <w:vAlign w:val="bottom"/>
          </w:tcPr>
          <w:p w14:paraId="211CF6B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6F31FA2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(1,197)</w:t>
            </w:r>
          </w:p>
        </w:tc>
        <w:tc>
          <w:tcPr>
            <w:tcW w:w="1305" w:type="dxa"/>
            <w:tcBorders>
              <w:top w:val="nil"/>
              <w:left w:val="nil"/>
              <w:bottom w:val="nil"/>
              <w:right w:val="nil"/>
            </w:tcBorders>
            <w:shd w:val="clear" w:color="auto" w:fill="FFFFFF"/>
            <w:vAlign w:val="bottom"/>
          </w:tcPr>
          <w:p w14:paraId="6B57DB4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1,455</w:t>
            </w:r>
          </w:p>
        </w:tc>
        <w:tc>
          <w:tcPr>
            <w:tcW w:w="1305" w:type="dxa"/>
            <w:tcBorders>
              <w:top w:val="nil"/>
              <w:left w:val="nil"/>
              <w:bottom w:val="nil"/>
              <w:right w:val="nil"/>
            </w:tcBorders>
            <w:shd w:val="clear" w:color="auto" w:fill="FFFFFF"/>
            <w:vAlign w:val="bottom"/>
          </w:tcPr>
          <w:p w14:paraId="248321F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1,303</w:t>
            </w:r>
          </w:p>
        </w:tc>
      </w:tr>
      <w:tr w:rsidR="002575C6" w14:paraId="13367BCE"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703F7061"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Fixed Assets</w:t>
            </w:r>
          </w:p>
        </w:tc>
        <w:tc>
          <w:tcPr>
            <w:tcW w:w="1305" w:type="dxa"/>
            <w:tcBorders>
              <w:top w:val="nil"/>
              <w:left w:val="nil"/>
              <w:bottom w:val="nil"/>
              <w:right w:val="nil"/>
            </w:tcBorders>
            <w:shd w:val="clear" w:color="auto" w:fill="FFFFFF"/>
            <w:vAlign w:val="bottom"/>
          </w:tcPr>
          <w:p w14:paraId="4CC7399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c>
          <w:tcPr>
            <w:tcW w:w="1305" w:type="dxa"/>
            <w:tcBorders>
              <w:top w:val="nil"/>
              <w:left w:val="nil"/>
              <w:bottom w:val="nil"/>
              <w:right w:val="nil"/>
            </w:tcBorders>
            <w:shd w:val="clear" w:color="auto" w:fill="FFFFFF"/>
            <w:vAlign w:val="bottom"/>
          </w:tcPr>
          <w:p w14:paraId="11F9358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2087C74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(2,562)</w:t>
            </w:r>
          </w:p>
        </w:tc>
        <w:tc>
          <w:tcPr>
            <w:tcW w:w="1305" w:type="dxa"/>
            <w:tcBorders>
              <w:top w:val="nil"/>
              <w:left w:val="nil"/>
              <w:bottom w:val="nil"/>
              <w:right w:val="nil"/>
            </w:tcBorders>
            <w:shd w:val="clear" w:color="auto" w:fill="FFFFFF"/>
            <w:vAlign w:val="bottom"/>
          </w:tcPr>
          <w:p w14:paraId="13F3AD1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4,458</w:t>
            </w:r>
          </w:p>
        </w:tc>
        <w:tc>
          <w:tcPr>
            <w:tcW w:w="1305" w:type="dxa"/>
            <w:tcBorders>
              <w:top w:val="nil"/>
              <w:left w:val="nil"/>
              <w:bottom w:val="nil"/>
              <w:right w:val="nil"/>
            </w:tcBorders>
            <w:shd w:val="clear" w:color="auto" w:fill="FFFFFF"/>
            <w:vAlign w:val="bottom"/>
          </w:tcPr>
          <w:p w14:paraId="0644A9E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5,137</w:t>
            </w:r>
          </w:p>
        </w:tc>
      </w:tr>
      <w:tr w:rsidR="002575C6" w14:paraId="539A7EB7"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2C38377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Rareminds Counselling</w:t>
            </w:r>
          </w:p>
        </w:tc>
        <w:tc>
          <w:tcPr>
            <w:tcW w:w="1305" w:type="dxa"/>
            <w:tcBorders>
              <w:top w:val="nil"/>
              <w:left w:val="nil"/>
              <w:bottom w:val="single" w:sz="2" w:space="0" w:color="auto"/>
              <w:right w:val="nil"/>
            </w:tcBorders>
            <w:shd w:val="clear" w:color="auto" w:fill="FFFFFF"/>
            <w:vAlign w:val="bottom"/>
          </w:tcPr>
          <w:p w14:paraId="03B5DCA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72DFB50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0B2FF79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(750)</w:t>
            </w:r>
          </w:p>
        </w:tc>
        <w:tc>
          <w:tcPr>
            <w:tcW w:w="1305" w:type="dxa"/>
            <w:tcBorders>
              <w:top w:val="nil"/>
              <w:left w:val="nil"/>
              <w:bottom w:val="single" w:sz="2" w:space="0" w:color="auto"/>
              <w:right w:val="nil"/>
            </w:tcBorders>
            <w:shd w:val="clear" w:color="auto" w:fill="FFFFFF"/>
            <w:vAlign w:val="bottom"/>
          </w:tcPr>
          <w:p w14:paraId="4A3A9BB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750</w:t>
            </w:r>
          </w:p>
        </w:tc>
        <w:tc>
          <w:tcPr>
            <w:tcW w:w="1305" w:type="dxa"/>
            <w:tcBorders>
              <w:top w:val="nil"/>
              <w:left w:val="nil"/>
              <w:bottom w:val="single" w:sz="2" w:space="0" w:color="auto"/>
              <w:right w:val="nil"/>
            </w:tcBorders>
            <w:shd w:val="clear" w:color="auto" w:fill="FFFFFF"/>
            <w:vAlign w:val="bottom"/>
          </w:tcPr>
          <w:p w14:paraId="4575CF3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r>
      <w:tr w:rsidR="002575C6" w14:paraId="79F81C19"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68FC0C3E"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single" w:sz="2" w:space="0" w:color="auto"/>
              <w:right w:val="nil"/>
            </w:tcBorders>
            <w:shd w:val="clear" w:color="auto" w:fill="FFFFFF"/>
            <w:vAlign w:val="bottom"/>
          </w:tcPr>
          <w:p w14:paraId="286E979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198,877</w:t>
            </w:r>
          </w:p>
        </w:tc>
        <w:tc>
          <w:tcPr>
            <w:tcW w:w="1305" w:type="dxa"/>
            <w:tcBorders>
              <w:top w:val="nil"/>
              <w:left w:val="nil"/>
              <w:bottom w:val="single" w:sz="2" w:space="0" w:color="auto"/>
              <w:right w:val="nil"/>
            </w:tcBorders>
            <w:shd w:val="clear" w:color="auto" w:fill="FFFFFF"/>
            <w:vAlign w:val="bottom"/>
          </w:tcPr>
          <w:p w14:paraId="35BA595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365,730</w:t>
            </w:r>
          </w:p>
        </w:tc>
        <w:tc>
          <w:tcPr>
            <w:tcW w:w="1305" w:type="dxa"/>
            <w:tcBorders>
              <w:top w:val="nil"/>
              <w:left w:val="nil"/>
              <w:bottom w:val="single" w:sz="2" w:space="0" w:color="auto"/>
              <w:right w:val="nil"/>
            </w:tcBorders>
            <w:shd w:val="clear" w:color="auto" w:fill="FFFFFF"/>
            <w:vAlign w:val="bottom"/>
          </w:tcPr>
          <w:p w14:paraId="4903390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(287,536)</w:t>
            </w:r>
          </w:p>
        </w:tc>
        <w:tc>
          <w:tcPr>
            <w:tcW w:w="1305" w:type="dxa"/>
            <w:tcBorders>
              <w:top w:val="nil"/>
              <w:left w:val="nil"/>
              <w:bottom w:val="single" w:sz="2" w:space="0" w:color="auto"/>
              <w:right w:val="nil"/>
            </w:tcBorders>
            <w:shd w:val="clear" w:color="auto" w:fill="FFFFFF"/>
            <w:vAlign w:val="bottom"/>
          </w:tcPr>
          <w:p w14:paraId="1BAE844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1115520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277,071</w:t>
            </w:r>
          </w:p>
        </w:tc>
      </w:tr>
      <w:tr w:rsidR="002575C6" w14:paraId="7143C96B"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3E5AD136"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Restricted funds</w:t>
            </w:r>
          </w:p>
        </w:tc>
        <w:tc>
          <w:tcPr>
            <w:tcW w:w="1305" w:type="dxa"/>
            <w:tcBorders>
              <w:top w:val="nil"/>
              <w:left w:val="nil"/>
              <w:bottom w:val="nil"/>
              <w:right w:val="nil"/>
            </w:tcBorders>
            <w:shd w:val="clear" w:color="auto" w:fill="FFFFFF"/>
            <w:vAlign w:val="bottom"/>
          </w:tcPr>
          <w:p w14:paraId="3D18CE46"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7BAE1C1B"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61793F5A"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0380502B"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6C902762" w14:textId="77777777" w:rsidR="002575C6" w:rsidRDefault="002575C6">
            <w:pPr>
              <w:autoSpaceDE w:val="0"/>
              <w:autoSpaceDN w:val="0"/>
              <w:adjustRightInd w:val="0"/>
              <w:spacing w:after="0" w:line="240" w:lineRule="auto"/>
              <w:rPr>
                <w:rFonts w:ascii="Times New Roman" w:hAnsi="Times New Roman"/>
                <w:kern w:val="0"/>
              </w:rPr>
            </w:pPr>
          </w:p>
        </w:tc>
      </w:tr>
      <w:tr w:rsidR="002575C6" w14:paraId="3974E660"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50930096"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Jeans 4 Genes</w:t>
            </w:r>
          </w:p>
        </w:tc>
        <w:tc>
          <w:tcPr>
            <w:tcW w:w="1305" w:type="dxa"/>
            <w:tcBorders>
              <w:top w:val="nil"/>
              <w:left w:val="nil"/>
              <w:bottom w:val="nil"/>
              <w:right w:val="nil"/>
            </w:tcBorders>
            <w:shd w:val="clear" w:color="auto" w:fill="FFFFFF"/>
            <w:vAlign w:val="bottom"/>
          </w:tcPr>
          <w:p w14:paraId="328A57E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c>
          <w:tcPr>
            <w:tcW w:w="1305" w:type="dxa"/>
            <w:tcBorders>
              <w:top w:val="nil"/>
              <w:left w:val="nil"/>
              <w:bottom w:val="nil"/>
              <w:right w:val="nil"/>
            </w:tcBorders>
            <w:shd w:val="clear" w:color="auto" w:fill="FFFFFF"/>
            <w:vAlign w:val="bottom"/>
          </w:tcPr>
          <w:p w14:paraId="005C0C5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66525F5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0121530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7679CB3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r>
      <w:tr w:rsidR="002575C6" w14:paraId="1BE2942F"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54B6D281"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The National Lottery (Rareminds Counselling Project)</w:t>
            </w:r>
          </w:p>
        </w:tc>
        <w:tc>
          <w:tcPr>
            <w:tcW w:w="1305" w:type="dxa"/>
            <w:tcBorders>
              <w:top w:val="nil"/>
              <w:left w:val="nil"/>
              <w:bottom w:val="nil"/>
              <w:right w:val="nil"/>
            </w:tcBorders>
            <w:shd w:val="clear" w:color="auto" w:fill="FFFFFF"/>
            <w:vAlign w:val="bottom"/>
          </w:tcPr>
          <w:p w14:paraId="04B692B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6B26D62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13,650</w:t>
            </w:r>
          </w:p>
        </w:tc>
        <w:tc>
          <w:tcPr>
            <w:tcW w:w="1305" w:type="dxa"/>
            <w:tcBorders>
              <w:top w:val="nil"/>
              <w:left w:val="nil"/>
              <w:bottom w:val="nil"/>
              <w:right w:val="nil"/>
            </w:tcBorders>
            <w:shd w:val="clear" w:color="auto" w:fill="FFFFFF"/>
            <w:vAlign w:val="bottom"/>
          </w:tcPr>
          <w:p w14:paraId="4BF3BE4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(5,185)</w:t>
            </w:r>
          </w:p>
        </w:tc>
        <w:tc>
          <w:tcPr>
            <w:tcW w:w="1305" w:type="dxa"/>
            <w:tcBorders>
              <w:top w:val="nil"/>
              <w:left w:val="nil"/>
              <w:bottom w:val="nil"/>
              <w:right w:val="nil"/>
            </w:tcBorders>
            <w:shd w:val="clear" w:color="auto" w:fill="FFFFFF"/>
            <w:vAlign w:val="bottom"/>
          </w:tcPr>
          <w:p w14:paraId="60D6ED7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306132B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8,465</w:t>
            </w:r>
          </w:p>
        </w:tc>
      </w:tr>
      <w:tr w:rsidR="002575C6" w14:paraId="32F3C289"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5E5B876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The Eveson Trust (Transition Project)</w:t>
            </w:r>
          </w:p>
        </w:tc>
        <w:tc>
          <w:tcPr>
            <w:tcW w:w="1305" w:type="dxa"/>
            <w:tcBorders>
              <w:top w:val="nil"/>
              <w:left w:val="nil"/>
              <w:bottom w:val="nil"/>
              <w:right w:val="nil"/>
            </w:tcBorders>
            <w:shd w:val="clear" w:color="auto" w:fill="FFFFFF"/>
            <w:vAlign w:val="bottom"/>
          </w:tcPr>
          <w:p w14:paraId="7867047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2324097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2,000</w:t>
            </w:r>
          </w:p>
        </w:tc>
        <w:tc>
          <w:tcPr>
            <w:tcW w:w="1305" w:type="dxa"/>
            <w:tcBorders>
              <w:top w:val="nil"/>
              <w:left w:val="nil"/>
              <w:bottom w:val="nil"/>
              <w:right w:val="nil"/>
            </w:tcBorders>
            <w:shd w:val="clear" w:color="auto" w:fill="FFFFFF"/>
            <w:vAlign w:val="bottom"/>
          </w:tcPr>
          <w:p w14:paraId="388C4DA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(1,955)</w:t>
            </w:r>
          </w:p>
        </w:tc>
        <w:tc>
          <w:tcPr>
            <w:tcW w:w="1305" w:type="dxa"/>
            <w:tcBorders>
              <w:top w:val="nil"/>
              <w:left w:val="nil"/>
              <w:bottom w:val="nil"/>
              <w:right w:val="nil"/>
            </w:tcBorders>
            <w:shd w:val="clear" w:color="auto" w:fill="FFFFFF"/>
            <w:vAlign w:val="bottom"/>
          </w:tcPr>
          <w:p w14:paraId="798D0D8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334D2E3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45</w:t>
            </w:r>
          </w:p>
        </w:tc>
      </w:tr>
      <w:tr w:rsidR="002575C6" w14:paraId="1E5AFC7E"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4C7ADC95"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 xml:space="preserve">BBC Children in Need </w:t>
            </w:r>
          </w:p>
        </w:tc>
        <w:tc>
          <w:tcPr>
            <w:tcW w:w="1305" w:type="dxa"/>
            <w:tcBorders>
              <w:top w:val="nil"/>
              <w:left w:val="nil"/>
              <w:bottom w:val="single" w:sz="2" w:space="0" w:color="auto"/>
              <w:right w:val="nil"/>
            </w:tcBorders>
            <w:shd w:val="clear" w:color="auto" w:fill="FFFFFF"/>
            <w:vAlign w:val="bottom"/>
          </w:tcPr>
          <w:p w14:paraId="206D1FA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156486F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14,368</w:t>
            </w:r>
          </w:p>
        </w:tc>
        <w:tc>
          <w:tcPr>
            <w:tcW w:w="1305" w:type="dxa"/>
            <w:tcBorders>
              <w:top w:val="nil"/>
              <w:left w:val="nil"/>
              <w:bottom w:val="single" w:sz="2" w:space="0" w:color="auto"/>
              <w:right w:val="nil"/>
            </w:tcBorders>
            <w:shd w:val="clear" w:color="auto" w:fill="FFFFFF"/>
            <w:vAlign w:val="bottom"/>
          </w:tcPr>
          <w:p w14:paraId="4C99784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36A84CD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71993A3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14,368</w:t>
            </w:r>
          </w:p>
        </w:tc>
      </w:tr>
      <w:tr w:rsidR="002575C6" w14:paraId="16703F77" w14:textId="77777777">
        <w:tblPrEx>
          <w:tblCellMar>
            <w:top w:w="0" w:type="dxa"/>
            <w:left w:w="0" w:type="dxa"/>
            <w:bottom w:w="0" w:type="dxa"/>
            <w:right w:w="0" w:type="dxa"/>
          </w:tblCellMar>
        </w:tblPrEx>
        <w:tc>
          <w:tcPr>
            <w:tcW w:w="2510" w:type="dxa"/>
            <w:gridSpan w:val="2"/>
            <w:tcBorders>
              <w:top w:val="nil"/>
              <w:left w:val="nil"/>
              <w:bottom w:val="nil"/>
              <w:right w:val="nil"/>
            </w:tcBorders>
            <w:shd w:val="clear" w:color="auto" w:fill="FFFFFF"/>
            <w:vAlign w:val="bottom"/>
          </w:tcPr>
          <w:p w14:paraId="23951D5B"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single" w:sz="2" w:space="0" w:color="auto"/>
              <w:right w:val="nil"/>
            </w:tcBorders>
            <w:shd w:val="clear" w:color="auto" w:fill="FFFFFF"/>
            <w:vAlign w:val="bottom"/>
          </w:tcPr>
          <w:p w14:paraId="2A93ECA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c>
          <w:tcPr>
            <w:tcW w:w="1305" w:type="dxa"/>
            <w:tcBorders>
              <w:top w:val="nil"/>
              <w:left w:val="nil"/>
              <w:bottom w:val="single" w:sz="2" w:space="0" w:color="auto"/>
              <w:right w:val="nil"/>
            </w:tcBorders>
            <w:shd w:val="clear" w:color="auto" w:fill="FFFFFF"/>
            <w:vAlign w:val="bottom"/>
          </w:tcPr>
          <w:p w14:paraId="07EA65D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30,018</w:t>
            </w:r>
          </w:p>
        </w:tc>
        <w:tc>
          <w:tcPr>
            <w:tcW w:w="1305" w:type="dxa"/>
            <w:tcBorders>
              <w:top w:val="nil"/>
              <w:left w:val="nil"/>
              <w:bottom w:val="single" w:sz="2" w:space="0" w:color="auto"/>
              <w:right w:val="nil"/>
            </w:tcBorders>
            <w:shd w:val="clear" w:color="auto" w:fill="FFFFFF"/>
            <w:vAlign w:val="bottom"/>
          </w:tcPr>
          <w:p w14:paraId="4650974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(7,140)</w:t>
            </w:r>
          </w:p>
        </w:tc>
        <w:tc>
          <w:tcPr>
            <w:tcW w:w="1305" w:type="dxa"/>
            <w:tcBorders>
              <w:top w:val="nil"/>
              <w:left w:val="nil"/>
              <w:bottom w:val="single" w:sz="2" w:space="0" w:color="auto"/>
              <w:right w:val="nil"/>
            </w:tcBorders>
            <w:shd w:val="clear" w:color="auto" w:fill="FFFFFF"/>
            <w:vAlign w:val="bottom"/>
          </w:tcPr>
          <w:p w14:paraId="1CC974C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7791261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25,668</w:t>
            </w:r>
          </w:p>
        </w:tc>
      </w:tr>
    </w:tbl>
    <w:p w14:paraId="6B3F87BA"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44"/>
          <w:pgSz w:w="11909" w:h="16834"/>
          <w:pgMar w:top="1440" w:right="1440" w:bottom="1440" w:left="1440" w:header="720" w:footer="720" w:gutter="0"/>
          <w:cols w:space="720"/>
          <w:noEndnote/>
        </w:sectPr>
      </w:pPr>
    </w:p>
    <w:p w14:paraId="7F46E00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5D0E7218"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510"/>
        <w:gridCol w:w="1305"/>
        <w:gridCol w:w="1305"/>
        <w:gridCol w:w="1305"/>
        <w:gridCol w:w="1305"/>
        <w:gridCol w:w="1305"/>
      </w:tblGrid>
      <w:tr w:rsidR="002575C6" w14:paraId="47C1DE03" w14:textId="77777777">
        <w:tblPrEx>
          <w:tblCellMar>
            <w:top w:w="0" w:type="dxa"/>
            <w:left w:w="0" w:type="dxa"/>
            <w:bottom w:w="0" w:type="dxa"/>
            <w:right w:w="0" w:type="dxa"/>
          </w:tblCellMar>
        </w:tblPrEx>
        <w:tc>
          <w:tcPr>
            <w:tcW w:w="2510" w:type="dxa"/>
            <w:tcBorders>
              <w:top w:val="nil"/>
              <w:left w:val="nil"/>
              <w:bottom w:val="nil"/>
              <w:right w:val="nil"/>
            </w:tcBorders>
            <w:shd w:val="clear" w:color="auto" w:fill="FFFFFF"/>
            <w:vAlign w:val="bottom"/>
          </w:tcPr>
          <w:p w14:paraId="0E3BEA0C"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2B8E9458"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Balance at 1 April 2024</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17DDC079"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Incoming resources</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312DA6E4"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Resources expended</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3F6856D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Transfers</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20D9348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Balance at 31 March 2025</w:t>
            </w:r>
            <w:r>
              <w:rPr>
                <w:rFonts w:ascii="Arial" w:hAnsi="Arial" w:cs="Arial"/>
                <w:b/>
                <w:bCs/>
                <w:kern w:val="0"/>
                <w:sz w:val="20"/>
                <w:szCs w:val="20"/>
              </w:rPr>
              <w:br/>
              <w:t>£</w:t>
            </w:r>
          </w:p>
        </w:tc>
      </w:tr>
      <w:tr w:rsidR="002575C6" w14:paraId="1472CC2B" w14:textId="77777777">
        <w:tblPrEx>
          <w:tblCellMar>
            <w:top w:w="0" w:type="dxa"/>
            <w:left w:w="0" w:type="dxa"/>
            <w:bottom w:w="0" w:type="dxa"/>
            <w:right w:w="0" w:type="dxa"/>
          </w:tblCellMar>
        </w:tblPrEx>
        <w:tc>
          <w:tcPr>
            <w:tcW w:w="2510" w:type="dxa"/>
            <w:tcBorders>
              <w:top w:val="nil"/>
              <w:left w:val="nil"/>
              <w:bottom w:val="nil"/>
              <w:right w:val="nil"/>
            </w:tcBorders>
            <w:shd w:val="clear" w:color="auto" w:fill="FFFFFF"/>
            <w:vAlign w:val="bottom"/>
          </w:tcPr>
          <w:p w14:paraId="736EFC4B"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Total funds</w:t>
            </w:r>
          </w:p>
        </w:tc>
        <w:tc>
          <w:tcPr>
            <w:tcW w:w="1305" w:type="dxa"/>
            <w:tcBorders>
              <w:top w:val="nil"/>
              <w:left w:val="nil"/>
              <w:bottom w:val="double" w:sz="2" w:space="0" w:color="auto"/>
              <w:right w:val="nil"/>
            </w:tcBorders>
            <w:shd w:val="clear" w:color="auto" w:fill="FFFFFF"/>
            <w:vAlign w:val="bottom"/>
          </w:tcPr>
          <w:p w14:paraId="03D1B5F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201,667</w:t>
            </w:r>
          </w:p>
        </w:tc>
        <w:tc>
          <w:tcPr>
            <w:tcW w:w="1305" w:type="dxa"/>
            <w:tcBorders>
              <w:top w:val="nil"/>
              <w:left w:val="nil"/>
              <w:bottom w:val="double" w:sz="2" w:space="0" w:color="auto"/>
              <w:right w:val="nil"/>
            </w:tcBorders>
            <w:shd w:val="clear" w:color="auto" w:fill="FFFFFF"/>
            <w:vAlign w:val="bottom"/>
          </w:tcPr>
          <w:p w14:paraId="1F3EB42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395,748</w:t>
            </w:r>
          </w:p>
        </w:tc>
        <w:tc>
          <w:tcPr>
            <w:tcW w:w="1305" w:type="dxa"/>
            <w:tcBorders>
              <w:top w:val="nil"/>
              <w:left w:val="nil"/>
              <w:bottom w:val="double" w:sz="2" w:space="0" w:color="auto"/>
              <w:right w:val="nil"/>
            </w:tcBorders>
            <w:shd w:val="clear" w:color="auto" w:fill="FFFFFF"/>
            <w:vAlign w:val="bottom"/>
          </w:tcPr>
          <w:p w14:paraId="4391F37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(294,676)</w:t>
            </w:r>
          </w:p>
        </w:tc>
        <w:tc>
          <w:tcPr>
            <w:tcW w:w="1305" w:type="dxa"/>
            <w:tcBorders>
              <w:top w:val="nil"/>
              <w:left w:val="nil"/>
              <w:bottom w:val="double" w:sz="2" w:space="0" w:color="auto"/>
              <w:right w:val="nil"/>
            </w:tcBorders>
            <w:shd w:val="clear" w:color="auto" w:fill="FFFFFF"/>
            <w:vAlign w:val="bottom"/>
          </w:tcPr>
          <w:p w14:paraId="5135F80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double" w:sz="2" w:space="0" w:color="auto"/>
              <w:right w:val="nil"/>
            </w:tcBorders>
            <w:shd w:val="clear" w:color="auto" w:fill="FFFFFF"/>
            <w:vAlign w:val="bottom"/>
          </w:tcPr>
          <w:p w14:paraId="1E789ED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302,739</w:t>
            </w:r>
          </w:p>
        </w:tc>
      </w:tr>
      <w:tr w:rsidR="002575C6" w14:paraId="262AEFD4" w14:textId="77777777">
        <w:tblPrEx>
          <w:tblCellMar>
            <w:top w:w="0" w:type="dxa"/>
            <w:left w:w="0" w:type="dxa"/>
            <w:bottom w:w="0" w:type="dxa"/>
            <w:right w:w="0" w:type="dxa"/>
          </w:tblCellMar>
        </w:tblPrEx>
        <w:tc>
          <w:tcPr>
            <w:tcW w:w="2510" w:type="dxa"/>
            <w:tcBorders>
              <w:top w:val="nil"/>
              <w:left w:val="nil"/>
              <w:bottom w:val="nil"/>
              <w:right w:val="nil"/>
            </w:tcBorders>
            <w:shd w:val="clear" w:color="auto" w:fill="FFFFFF"/>
            <w:vAlign w:val="bottom"/>
          </w:tcPr>
          <w:p w14:paraId="130F3F3A"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4AF950F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Balance at 1 April 2023</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59A4C73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Incoming resources</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217C340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Resources expended</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34E47AE2"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Transfers</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3C4B0C7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Balance at 31 March 2024</w:t>
            </w:r>
            <w:r>
              <w:rPr>
                <w:rFonts w:ascii="Arial" w:hAnsi="Arial" w:cs="Arial"/>
                <w:b/>
                <w:bCs/>
                <w:kern w:val="0"/>
                <w:sz w:val="20"/>
                <w:szCs w:val="20"/>
              </w:rPr>
              <w:br/>
              <w:t>£</w:t>
            </w:r>
          </w:p>
        </w:tc>
      </w:tr>
      <w:tr w:rsidR="002575C6" w14:paraId="112E5C34" w14:textId="77777777">
        <w:tblPrEx>
          <w:tblCellMar>
            <w:top w:w="0" w:type="dxa"/>
            <w:left w:w="0" w:type="dxa"/>
            <w:bottom w:w="0" w:type="dxa"/>
            <w:right w:w="0" w:type="dxa"/>
          </w:tblCellMar>
        </w:tblPrEx>
        <w:tc>
          <w:tcPr>
            <w:tcW w:w="9033" w:type="dxa"/>
            <w:gridSpan w:val="6"/>
            <w:tcBorders>
              <w:top w:val="nil"/>
              <w:left w:val="nil"/>
              <w:bottom w:val="nil"/>
              <w:right w:val="nil"/>
            </w:tcBorders>
            <w:shd w:val="clear" w:color="auto" w:fill="FFFFFF"/>
            <w:vAlign w:val="bottom"/>
          </w:tcPr>
          <w:p w14:paraId="583F5861"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Unrestricted funds</w:t>
            </w:r>
          </w:p>
        </w:tc>
      </w:tr>
      <w:tr w:rsidR="002575C6" w14:paraId="34C6D3C4" w14:textId="77777777">
        <w:tblPrEx>
          <w:tblCellMar>
            <w:top w:w="0" w:type="dxa"/>
            <w:left w:w="0" w:type="dxa"/>
            <w:bottom w:w="0" w:type="dxa"/>
            <w:right w:w="0" w:type="dxa"/>
          </w:tblCellMar>
        </w:tblPrEx>
        <w:tc>
          <w:tcPr>
            <w:tcW w:w="2510" w:type="dxa"/>
            <w:tcBorders>
              <w:top w:val="nil"/>
              <w:left w:val="nil"/>
              <w:bottom w:val="nil"/>
              <w:right w:val="nil"/>
            </w:tcBorders>
            <w:shd w:val="clear" w:color="auto" w:fill="FFFFFF"/>
            <w:vAlign w:val="bottom"/>
          </w:tcPr>
          <w:p w14:paraId="3A93FE00"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i/>
                <w:iCs/>
                <w:kern w:val="0"/>
                <w:sz w:val="20"/>
                <w:szCs w:val="20"/>
              </w:rPr>
              <w:t>General</w:t>
            </w:r>
          </w:p>
        </w:tc>
        <w:tc>
          <w:tcPr>
            <w:tcW w:w="1305" w:type="dxa"/>
            <w:tcBorders>
              <w:top w:val="nil"/>
              <w:left w:val="nil"/>
              <w:bottom w:val="nil"/>
              <w:right w:val="nil"/>
            </w:tcBorders>
            <w:shd w:val="clear" w:color="auto" w:fill="FFFFFF"/>
            <w:vAlign w:val="bottom"/>
          </w:tcPr>
          <w:p w14:paraId="5A8407F0"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16315609"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7DBE548F"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09BEE21F"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7AF56F96" w14:textId="77777777" w:rsidR="002575C6" w:rsidRDefault="002575C6">
            <w:pPr>
              <w:autoSpaceDE w:val="0"/>
              <w:autoSpaceDN w:val="0"/>
              <w:adjustRightInd w:val="0"/>
              <w:spacing w:after="0" w:line="240" w:lineRule="auto"/>
              <w:rPr>
                <w:rFonts w:ascii="Times New Roman" w:hAnsi="Times New Roman"/>
                <w:kern w:val="0"/>
              </w:rPr>
            </w:pPr>
          </w:p>
        </w:tc>
      </w:tr>
      <w:tr w:rsidR="002575C6" w14:paraId="22AEB1C8" w14:textId="77777777">
        <w:tblPrEx>
          <w:tblCellMar>
            <w:top w:w="0" w:type="dxa"/>
            <w:left w:w="0" w:type="dxa"/>
            <w:bottom w:w="0" w:type="dxa"/>
            <w:right w:w="0" w:type="dxa"/>
          </w:tblCellMar>
        </w:tblPrEx>
        <w:tc>
          <w:tcPr>
            <w:tcW w:w="2510" w:type="dxa"/>
            <w:tcBorders>
              <w:top w:val="nil"/>
              <w:left w:val="nil"/>
              <w:bottom w:val="nil"/>
              <w:right w:val="nil"/>
            </w:tcBorders>
            <w:shd w:val="clear" w:color="auto" w:fill="FFFFFF"/>
            <w:vAlign w:val="bottom"/>
          </w:tcPr>
          <w:p w14:paraId="4AB6CCD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 xml:space="preserve">General Funds </w:t>
            </w:r>
          </w:p>
        </w:tc>
        <w:tc>
          <w:tcPr>
            <w:tcW w:w="1305" w:type="dxa"/>
            <w:tcBorders>
              <w:top w:val="nil"/>
              <w:left w:val="nil"/>
              <w:bottom w:val="nil"/>
              <w:right w:val="nil"/>
            </w:tcBorders>
            <w:shd w:val="clear" w:color="auto" w:fill="FFFFFF"/>
            <w:vAlign w:val="bottom"/>
          </w:tcPr>
          <w:p w14:paraId="61DDF8C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129,600</w:t>
            </w:r>
          </w:p>
        </w:tc>
        <w:tc>
          <w:tcPr>
            <w:tcW w:w="1305" w:type="dxa"/>
            <w:tcBorders>
              <w:top w:val="nil"/>
              <w:left w:val="nil"/>
              <w:bottom w:val="nil"/>
              <w:right w:val="nil"/>
            </w:tcBorders>
            <w:shd w:val="clear" w:color="auto" w:fill="FFFFFF"/>
            <w:vAlign w:val="bottom"/>
          </w:tcPr>
          <w:p w14:paraId="1B9DB08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315,787</w:t>
            </w:r>
          </w:p>
        </w:tc>
        <w:tc>
          <w:tcPr>
            <w:tcW w:w="1305" w:type="dxa"/>
            <w:tcBorders>
              <w:top w:val="nil"/>
              <w:left w:val="nil"/>
              <w:bottom w:val="nil"/>
              <w:right w:val="nil"/>
            </w:tcBorders>
            <w:shd w:val="clear" w:color="auto" w:fill="FFFFFF"/>
            <w:vAlign w:val="bottom"/>
          </w:tcPr>
          <w:p w14:paraId="0B88FFE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(251,342)</w:t>
            </w:r>
          </w:p>
        </w:tc>
        <w:tc>
          <w:tcPr>
            <w:tcW w:w="1305" w:type="dxa"/>
            <w:tcBorders>
              <w:top w:val="nil"/>
              <w:left w:val="nil"/>
              <w:bottom w:val="nil"/>
              <w:right w:val="nil"/>
            </w:tcBorders>
            <w:shd w:val="clear" w:color="auto" w:fill="FFFFFF"/>
            <w:vAlign w:val="bottom"/>
          </w:tcPr>
          <w:p w14:paraId="21CE463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(3,096)</w:t>
            </w:r>
          </w:p>
        </w:tc>
        <w:tc>
          <w:tcPr>
            <w:tcW w:w="1305" w:type="dxa"/>
            <w:tcBorders>
              <w:top w:val="nil"/>
              <w:left w:val="nil"/>
              <w:bottom w:val="nil"/>
              <w:right w:val="nil"/>
            </w:tcBorders>
            <w:shd w:val="clear" w:color="auto" w:fill="FFFFFF"/>
            <w:vAlign w:val="bottom"/>
          </w:tcPr>
          <w:p w14:paraId="01688B2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190,949</w:t>
            </w:r>
          </w:p>
        </w:tc>
      </w:tr>
      <w:tr w:rsidR="002575C6" w14:paraId="22D38FC1" w14:textId="77777777">
        <w:tblPrEx>
          <w:tblCellMar>
            <w:top w:w="0" w:type="dxa"/>
            <w:left w:w="0" w:type="dxa"/>
            <w:bottom w:w="0" w:type="dxa"/>
            <w:right w:w="0" w:type="dxa"/>
          </w:tblCellMar>
        </w:tblPrEx>
        <w:tc>
          <w:tcPr>
            <w:tcW w:w="2510" w:type="dxa"/>
            <w:tcBorders>
              <w:top w:val="nil"/>
              <w:left w:val="nil"/>
              <w:bottom w:val="nil"/>
              <w:right w:val="nil"/>
            </w:tcBorders>
            <w:shd w:val="clear" w:color="auto" w:fill="FFFFFF"/>
            <w:vAlign w:val="bottom"/>
          </w:tcPr>
          <w:p w14:paraId="22E706F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Chris Humphreys Memorial Fund</w:t>
            </w:r>
          </w:p>
        </w:tc>
        <w:tc>
          <w:tcPr>
            <w:tcW w:w="1305" w:type="dxa"/>
            <w:tcBorders>
              <w:top w:val="nil"/>
              <w:left w:val="nil"/>
              <w:bottom w:val="nil"/>
              <w:right w:val="nil"/>
            </w:tcBorders>
            <w:shd w:val="clear" w:color="auto" w:fill="FFFFFF"/>
            <w:vAlign w:val="bottom"/>
          </w:tcPr>
          <w:p w14:paraId="1404329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3,000</w:t>
            </w:r>
          </w:p>
        </w:tc>
        <w:tc>
          <w:tcPr>
            <w:tcW w:w="1305" w:type="dxa"/>
            <w:tcBorders>
              <w:top w:val="nil"/>
              <w:left w:val="nil"/>
              <w:bottom w:val="nil"/>
              <w:right w:val="nil"/>
            </w:tcBorders>
            <w:shd w:val="clear" w:color="auto" w:fill="FFFFFF"/>
            <w:vAlign w:val="bottom"/>
          </w:tcPr>
          <w:p w14:paraId="0016047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67B71CF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(1,407)</w:t>
            </w:r>
          </w:p>
        </w:tc>
        <w:tc>
          <w:tcPr>
            <w:tcW w:w="1305" w:type="dxa"/>
            <w:tcBorders>
              <w:top w:val="nil"/>
              <w:left w:val="nil"/>
              <w:bottom w:val="nil"/>
              <w:right w:val="nil"/>
            </w:tcBorders>
            <w:shd w:val="clear" w:color="auto" w:fill="FFFFFF"/>
            <w:vAlign w:val="bottom"/>
          </w:tcPr>
          <w:p w14:paraId="76E01BD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1,000</w:t>
            </w:r>
          </w:p>
        </w:tc>
        <w:tc>
          <w:tcPr>
            <w:tcW w:w="1305" w:type="dxa"/>
            <w:tcBorders>
              <w:top w:val="nil"/>
              <w:left w:val="nil"/>
              <w:bottom w:val="nil"/>
              <w:right w:val="nil"/>
            </w:tcBorders>
            <w:shd w:val="clear" w:color="auto" w:fill="FFFFFF"/>
            <w:vAlign w:val="bottom"/>
          </w:tcPr>
          <w:p w14:paraId="0E991BF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2,593</w:t>
            </w:r>
          </w:p>
        </w:tc>
      </w:tr>
      <w:tr w:rsidR="002575C6" w14:paraId="6521723B" w14:textId="77777777">
        <w:tblPrEx>
          <w:tblCellMar>
            <w:top w:w="0" w:type="dxa"/>
            <w:left w:w="0" w:type="dxa"/>
            <w:bottom w:w="0" w:type="dxa"/>
            <w:right w:w="0" w:type="dxa"/>
          </w:tblCellMar>
        </w:tblPrEx>
        <w:tc>
          <w:tcPr>
            <w:tcW w:w="2510" w:type="dxa"/>
            <w:tcBorders>
              <w:top w:val="nil"/>
              <w:left w:val="nil"/>
              <w:bottom w:val="nil"/>
              <w:right w:val="nil"/>
            </w:tcBorders>
            <w:shd w:val="clear" w:color="auto" w:fill="FFFFFF"/>
            <w:vAlign w:val="bottom"/>
          </w:tcPr>
          <w:p w14:paraId="293EA699"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Conference Weekend</w:t>
            </w:r>
          </w:p>
        </w:tc>
        <w:tc>
          <w:tcPr>
            <w:tcW w:w="1305" w:type="dxa"/>
            <w:tcBorders>
              <w:top w:val="nil"/>
              <w:left w:val="nil"/>
              <w:bottom w:val="nil"/>
              <w:right w:val="nil"/>
            </w:tcBorders>
            <w:shd w:val="clear" w:color="auto" w:fill="FFFFFF"/>
            <w:vAlign w:val="bottom"/>
          </w:tcPr>
          <w:p w14:paraId="6389F9F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25,000</w:t>
            </w:r>
          </w:p>
        </w:tc>
        <w:tc>
          <w:tcPr>
            <w:tcW w:w="1305" w:type="dxa"/>
            <w:tcBorders>
              <w:top w:val="nil"/>
              <w:left w:val="nil"/>
              <w:bottom w:val="nil"/>
              <w:right w:val="nil"/>
            </w:tcBorders>
            <w:shd w:val="clear" w:color="auto" w:fill="FFFFFF"/>
            <w:vAlign w:val="bottom"/>
          </w:tcPr>
          <w:p w14:paraId="3F48913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5DF8B6B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(23,951)</w:t>
            </w:r>
          </w:p>
        </w:tc>
        <w:tc>
          <w:tcPr>
            <w:tcW w:w="1305" w:type="dxa"/>
            <w:tcBorders>
              <w:top w:val="nil"/>
              <w:left w:val="nil"/>
              <w:bottom w:val="nil"/>
              <w:right w:val="nil"/>
            </w:tcBorders>
            <w:shd w:val="clear" w:color="auto" w:fill="FFFFFF"/>
            <w:vAlign w:val="bottom"/>
          </w:tcPr>
          <w:p w14:paraId="29855C8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7C3A56D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1,049</w:t>
            </w:r>
          </w:p>
        </w:tc>
      </w:tr>
      <w:tr w:rsidR="002575C6" w14:paraId="5D3CAACB" w14:textId="77777777">
        <w:tblPrEx>
          <w:tblCellMar>
            <w:top w:w="0" w:type="dxa"/>
            <w:left w:w="0" w:type="dxa"/>
            <w:bottom w:w="0" w:type="dxa"/>
            <w:right w:w="0" w:type="dxa"/>
          </w:tblCellMar>
        </w:tblPrEx>
        <w:tc>
          <w:tcPr>
            <w:tcW w:w="2510" w:type="dxa"/>
            <w:tcBorders>
              <w:top w:val="nil"/>
              <w:left w:val="nil"/>
              <w:bottom w:val="nil"/>
              <w:right w:val="nil"/>
            </w:tcBorders>
            <w:shd w:val="clear" w:color="auto" w:fill="FFFFFF"/>
            <w:vAlign w:val="bottom"/>
          </w:tcPr>
          <w:p w14:paraId="4F282743"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IT Equipment Fund</w:t>
            </w:r>
          </w:p>
        </w:tc>
        <w:tc>
          <w:tcPr>
            <w:tcW w:w="1305" w:type="dxa"/>
            <w:tcBorders>
              <w:top w:val="nil"/>
              <w:left w:val="nil"/>
              <w:bottom w:val="nil"/>
              <w:right w:val="nil"/>
            </w:tcBorders>
            <w:shd w:val="clear" w:color="auto" w:fill="FFFFFF"/>
            <w:vAlign w:val="bottom"/>
          </w:tcPr>
          <w:p w14:paraId="5277096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3,223</w:t>
            </w:r>
          </w:p>
        </w:tc>
        <w:tc>
          <w:tcPr>
            <w:tcW w:w="1305" w:type="dxa"/>
            <w:tcBorders>
              <w:top w:val="nil"/>
              <w:left w:val="nil"/>
              <w:bottom w:val="nil"/>
              <w:right w:val="nil"/>
            </w:tcBorders>
            <w:shd w:val="clear" w:color="auto" w:fill="FFFFFF"/>
            <w:vAlign w:val="bottom"/>
          </w:tcPr>
          <w:p w14:paraId="3BB0D35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09A8946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(2,178)</w:t>
            </w:r>
          </w:p>
        </w:tc>
        <w:tc>
          <w:tcPr>
            <w:tcW w:w="1305" w:type="dxa"/>
            <w:tcBorders>
              <w:top w:val="nil"/>
              <w:left w:val="nil"/>
              <w:bottom w:val="nil"/>
              <w:right w:val="nil"/>
            </w:tcBorders>
            <w:shd w:val="clear" w:color="auto" w:fill="FFFFFF"/>
            <w:vAlign w:val="bottom"/>
          </w:tcPr>
          <w:p w14:paraId="235257E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29026DD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1,045</w:t>
            </w:r>
          </w:p>
        </w:tc>
      </w:tr>
      <w:tr w:rsidR="002575C6" w14:paraId="642C5EC7" w14:textId="77777777">
        <w:tblPrEx>
          <w:tblCellMar>
            <w:top w:w="0" w:type="dxa"/>
            <w:left w:w="0" w:type="dxa"/>
            <w:bottom w:w="0" w:type="dxa"/>
            <w:right w:w="0" w:type="dxa"/>
          </w:tblCellMar>
        </w:tblPrEx>
        <w:tc>
          <w:tcPr>
            <w:tcW w:w="2510" w:type="dxa"/>
            <w:tcBorders>
              <w:top w:val="nil"/>
              <w:left w:val="nil"/>
              <w:bottom w:val="nil"/>
              <w:right w:val="nil"/>
            </w:tcBorders>
            <w:shd w:val="clear" w:color="auto" w:fill="FFFFFF"/>
            <w:vAlign w:val="bottom"/>
          </w:tcPr>
          <w:p w14:paraId="7B7117D7"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Fixed Assets</w:t>
            </w:r>
          </w:p>
        </w:tc>
        <w:tc>
          <w:tcPr>
            <w:tcW w:w="1305" w:type="dxa"/>
            <w:tcBorders>
              <w:top w:val="nil"/>
              <w:left w:val="nil"/>
              <w:bottom w:val="single" w:sz="2" w:space="0" w:color="auto"/>
              <w:right w:val="nil"/>
            </w:tcBorders>
            <w:shd w:val="clear" w:color="auto" w:fill="FFFFFF"/>
            <w:vAlign w:val="bottom"/>
          </w:tcPr>
          <w:p w14:paraId="3CAC9B1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1,145</w:t>
            </w:r>
          </w:p>
        </w:tc>
        <w:tc>
          <w:tcPr>
            <w:tcW w:w="1305" w:type="dxa"/>
            <w:tcBorders>
              <w:top w:val="nil"/>
              <w:left w:val="nil"/>
              <w:bottom w:val="single" w:sz="2" w:space="0" w:color="auto"/>
              <w:right w:val="nil"/>
            </w:tcBorders>
            <w:shd w:val="clear" w:color="auto" w:fill="FFFFFF"/>
            <w:vAlign w:val="bottom"/>
          </w:tcPr>
          <w:p w14:paraId="44C701F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21A46D6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3C05D31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2,096</w:t>
            </w:r>
          </w:p>
        </w:tc>
        <w:tc>
          <w:tcPr>
            <w:tcW w:w="1305" w:type="dxa"/>
            <w:tcBorders>
              <w:top w:val="nil"/>
              <w:left w:val="nil"/>
              <w:bottom w:val="single" w:sz="2" w:space="0" w:color="auto"/>
              <w:right w:val="nil"/>
            </w:tcBorders>
            <w:shd w:val="clear" w:color="auto" w:fill="FFFFFF"/>
            <w:vAlign w:val="bottom"/>
          </w:tcPr>
          <w:p w14:paraId="468129C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r>
      <w:tr w:rsidR="002575C6" w14:paraId="4C3BA6DE" w14:textId="77777777">
        <w:tblPrEx>
          <w:tblCellMar>
            <w:top w:w="0" w:type="dxa"/>
            <w:left w:w="0" w:type="dxa"/>
            <w:bottom w:w="0" w:type="dxa"/>
            <w:right w:w="0" w:type="dxa"/>
          </w:tblCellMar>
        </w:tblPrEx>
        <w:tc>
          <w:tcPr>
            <w:tcW w:w="2510" w:type="dxa"/>
            <w:tcBorders>
              <w:top w:val="nil"/>
              <w:left w:val="nil"/>
              <w:bottom w:val="nil"/>
              <w:right w:val="nil"/>
            </w:tcBorders>
            <w:shd w:val="clear" w:color="auto" w:fill="FFFFFF"/>
            <w:vAlign w:val="bottom"/>
          </w:tcPr>
          <w:p w14:paraId="153CEDEF"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5D80A40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161,968</w:t>
            </w:r>
          </w:p>
        </w:tc>
        <w:tc>
          <w:tcPr>
            <w:tcW w:w="1305" w:type="dxa"/>
            <w:tcBorders>
              <w:top w:val="nil"/>
              <w:left w:val="nil"/>
              <w:bottom w:val="nil"/>
              <w:right w:val="nil"/>
            </w:tcBorders>
            <w:shd w:val="clear" w:color="auto" w:fill="FFFFFF"/>
            <w:vAlign w:val="bottom"/>
          </w:tcPr>
          <w:p w14:paraId="2B22190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315,787</w:t>
            </w:r>
          </w:p>
        </w:tc>
        <w:tc>
          <w:tcPr>
            <w:tcW w:w="1305" w:type="dxa"/>
            <w:tcBorders>
              <w:top w:val="nil"/>
              <w:left w:val="nil"/>
              <w:bottom w:val="nil"/>
              <w:right w:val="nil"/>
            </w:tcBorders>
            <w:shd w:val="clear" w:color="auto" w:fill="FFFFFF"/>
            <w:vAlign w:val="bottom"/>
          </w:tcPr>
          <w:p w14:paraId="5626217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(278,878)</w:t>
            </w:r>
          </w:p>
        </w:tc>
        <w:tc>
          <w:tcPr>
            <w:tcW w:w="1305" w:type="dxa"/>
            <w:tcBorders>
              <w:top w:val="nil"/>
              <w:left w:val="nil"/>
              <w:bottom w:val="nil"/>
              <w:right w:val="nil"/>
            </w:tcBorders>
            <w:shd w:val="clear" w:color="auto" w:fill="FFFFFF"/>
            <w:vAlign w:val="bottom"/>
          </w:tcPr>
          <w:p w14:paraId="0FDFA85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124A6CC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198,877</w:t>
            </w:r>
          </w:p>
        </w:tc>
      </w:tr>
      <w:tr w:rsidR="002575C6" w14:paraId="38275E2C" w14:textId="77777777">
        <w:tblPrEx>
          <w:tblCellMar>
            <w:top w:w="0" w:type="dxa"/>
            <w:left w:w="0" w:type="dxa"/>
            <w:bottom w:w="0" w:type="dxa"/>
            <w:right w:w="0" w:type="dxa"/>
          </w:tblCellMar>
        </w:tblPrEx>
        <w:tc>
          <w:tcPr>
            <w:tcW w:w="2510" w:type="dxa"/>
            <w:tcBorders>
              <w:top w:val="nil"/>
              <w:left w:val="nil"/>
              <w:bottom w:val="nil"/>
              <w:right w:val="nil"/>
            </w:tcBorders>
            <w:shd w:val="clear" w:color="auto" w:fill="FFFFFF"/>
            <w:vAlign w:val="bottom"/>
          </w:tcPr>
          <w:p w14:paraId="277D82AB"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Restricted funds</w:t>
            </w:r>
          </w:p>
        </w:tc>
        <w:tc>
          <w:tcPr>
            <w:tcW w:w="1305" w:type="dxa"/>
            <w:tcBorders>
              <w:top w:val="nil"/>
              <w:left w:val="nil"/>
              <w:bottom w:val="nil"/>
              <w:right w:val="nil"/>
            </w:tcBorders>
            <w:shd w:val="clear" w:color="auto" w:fill="FFFFFF"/>
            <w:vAlign w:val="bottom"/>
          </w:tcPr>
          <w:p w14:paraId="150AA2CE"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541473A7"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2FA5BE10"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047930FA"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38588D09" w14:textId="77777777" w:rsidR="002575C6" w:rsidRDefault="002575C6">
            <w:pPr>
              <w:autoSpaceDE w:val="0"/>
              <w:autoSpaceDN w:val="0"/>
              <w:adjustRightInd w:val="0"/>
              <w:spacing w:after="0" w:line="240" w:lineRule="auto"/>
              <w:rPr>
                <w:rFonts w:ascii="Times New Roman" w:hAnsi="Times New Roman"/>
                <w:kern w:val="0"/>
              </w:rPr>
            </w:pPr>
          </w:p>
        </w:tc>
      </w:tr>
      <w:tr w:rsidR="002575C6" w14:paraId="20250C02" w14:textId="77777777">
        <w:tblPrEx>
          <w:tblCellMar>
            <w:top w:w="0" w:type="dxa"/>
            <w:left w:w="0" w:type="dxa"/>
            <w:bottom w:w="0" w:type="dxa"/>
            <w:right w:w="0" w:type="dxa"/>
          </w:tblCellMar>
        </w:tblPrEx>
        <w:tc>
          <w:tcPr>
            <w:tcW w:w="2510" w:type="dxa"/>
            <w:tcBorders>
              <w:top w:val="nil"/>
              <w:left w:val="nil"/>
              <w:bottom w:val="nil"/>
              <w:right w:val="nil"/>
            </w:tcBorders>
            <w:shd w:val="clear" w:color="auto" w:fill="FFFFFF"/>
            <w:vAlign w:val="bottom"/>
          </w:tcPr>
          <w:p w14:paraId="595497E6"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Jeans 4 Genes</w:t>
            </w:r>
          </w:p>
        </w:tc>
        <w:tc>
          <w:tcPr>
            <w:tcW w:w="1305" w:type="dxa"/>
            <w:tcBorders>
              <w:top w:val="nil"/>
              <w:left w:val="nil"/>
              <w:bottom w:val="single" w:sz="2" w:space="0" w:color="auto"/>
              <w:right w:val="nil"/>
            </w:tcBorders>
            <w:shd w:val="clear" w:color="auto" w:fill="FFFFFF"/>
            <w:vAlign w:val="bottom"/>
          </w:tcPr>
          <w:p w14:paraId="1D542B3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3,078</w:t>
            </w:r>
          </w:p>
        </w:tc>
        <w:tc>
          <w:tcPr>
            <w:tcW w:w="1305" w:type="dxa"/>
            <w:tcBorders>
              <w:top w:val="nil"/>
              <w:left w:val="nil"/>
              <w:bottom w:val="single" w:sz="2" w:space="0" w:color="auto"/>
              <w:right w:val="nil"/>
            </w:tcBorders>
            <w:shd w:val="clear" w:color="auto" w:fill="FFFFFF"/>
            <w:vAlign w:val="bottom"/>
          </w:tcPr>
          <w:p w14:paraId="4109F26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35A65AE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(288)</w:t>
            </w:r>
          </w:p>
        </w:tc>
        <w:tc>
          <w:tcPr>
            <w:tcW w:w="1305" w:type="dxa"/>
            <w:tcBorders>
              <w:top w:val="nil"/>
              <w:left w:val="nil"/>
              <w:bottom w:val="single" w:sz="2" w:space="0" w:color="auto"/>
              <w:right w:val="nil"/>
            </w:tcBorders>
            <w:shd w:val="clear" w:color="auto" w:fill="FFFFFF"/>
            <w:vAlign w:val="bottom"/>
          </w:tcPr>
          <w:p w14:paraId="49FAFE5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3CFBBA4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r>
      <w:tr w:rsidR="002575C6" w14:paraId="07B9C904" w14:textId="77777777">
        <w:tblPrEx>
          <w:tblCellMar>
            <w:top w:w="0" w:type="dxa"/>
            <w:left w:w="0" w:type="dxa"/>
            <w:bottom w:w="0" w:type="dxa"/>
            <w:right w:w="0" w:type="dxa"/>
          </w:tblCellMar>
        </w:tblPrEx>
        <w:tc>
          <w:tcPr>
            <w:tcW w:w="2510" w:type="dxa"/>
            <w:tcBorders>
              <w:top w:val="nil"/>
              <w:left w:val="nil"/>
              <w:bottom w:val="nil"/>
              <w:right w:val="nil"/>
            </w:tcBorders>
            <w:shd w:val="clear" w:color="auto" w:fill="FFFFFF"/>
            <w:vAlign w:val="bottom"/>
          </w:tcPr>
          <w:p w14:paraId="484A6BA3"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Total funds</w:t>
            </w:r>
          </w:p>
        </w:tc>
        <w:tc>
          <w:tcPr>
            <w:tcW w:w="1305" w:type="dxa"/>
            <w:tcBorders>
              <w:top w:val="nil"/>
              <w:left w:val="nil"/>
              <w:bottom w:val="double" w:sz="2" w:space="0" w:color="auto"/>
              <w:right w:val="nil"/>
            </w:tcBorders>
            <w:shd w:val="clear" w:color="auto" w:fill="FFFFFF"/>
            <w:vAlign w:val="bottom"/>
          </w:tcPr>
          <w:p w14:paraId="6A102DE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165,046</w:t>
            </w:r>
          </w:p>
        </w:tc>
        <w:tc>
          <w:tcPr>
            <w:tcW w:w="1305" w:type="dxa"/>
            <w:tcBorders>
              <w:top w:val="nil"/>
              <w:left w:val="nil"/>
              <w:bottom w:val="double" w:sz="2" w:space="0" w:color="auto"/>
              <w:right w:val="nil"/>
            </w:tcBorders>
            <w:shd w:val="clear" w:color="auto" w:fill="FFFFFF"/>
            <w:vAlign w:val="bottom"/>
          </w:tcPr>
          <w:p w14:paraId="09BE8B2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315,787</w:t>
            </w:r>
          </w:p>
        </w:tc>
        <w:tc>
          <w:tcPr>
            <w:tcW w:w="1305" w:type="dxa"/>
            <w:tcBorders>
              <w:top w:val="nil"/>
              <w:left w:val="nil"/>
              <w:bottom w:val="double" w:sz="2" w:space="0" w:color="auto"/>
              <w:right w:val="nil"/>
            </w:tcBorders>
            <w:shd w:val="clear" w:color="auto" w:fill="FFFFFF"/>
            <w:vAlign w:val="bottom"/>
          </w:tcPr>
          <w:p w14:paraId="6DEE326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(279,166)</w:t>
            </w:r>
          </w:p>
        </w:tc>
        <w:tc>
          <w:tcPr>
            <w:tcW w:w="1305" w:type="dxa"/>
            <w:tcBorders>
              <w:top w:val="nil"/>
              <w:left w:val="nil"/>
              <w:bottom w:val="double" w:sz="2" w:space="0" w:color="auto"/>
              <w:right w:val="nil"/>
            </w:tcBorders>
            <w:shd w:val="clear" w:color="auto" w:fill="FFFFFF"/>
            <w:vAlign w:val="bottom"/>
          </w:tcPr>
          <w:p w14:paraId="660FCF2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double" w:sz="2" w:space="0" w:color="auto"/>
              <w:right w:val="nil"/>
            </w:tcBorders>
            <w:shd w:val="clear" w:color="auto" w:fill="FFFFFF"/>
            <w:vAlign w:val="bottom"/>
          </w:tcPr>
          <w:p w14:paraId="078B57F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201,667</w:t>
            </w:r>
          </w:p>
        </w:tc>
      </w:tr>
    </w:tbl>
    <w:p w14:paraId="7D6159B8"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45"/>
          <w:pgSz w:w="11909" w:h="16834"/>
          <w:pgMar w:top="1440" w:right="1440" w:bottom="1440" w:left="1440" w:header="720" w:footer="720" w:gutter="0"/>
          <w:cols w:space="720"/>
          <w:noEndnote/>
        </w:sectPr>
      </w:pPr>
    </w:p>
    <w:p w14:paraId="1ABBDBAF"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33E79B85"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p w14:paraId="57461A14"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u w:val="single"/>
        </w:rPr>
        <w:t>Unrestricted Funds</w:t>
      </w:r>
    </w:p>
    <w:p w14:paraId="37634629" w14:textId="77777777" w:rsidR="002575C6" w:rsidRDefault="002575C6">
      <w:pPr>
        <w:autoSpaceDE w:val="0"/>
        <w:autoSpaceDN w:val="0"/>
        <w:adjustRightInd w:val="0"/>
        <w:spacing w:after="0" w:line="240" w:lineRule="auto"/>
        <w:jc w:val="both"/>
        <w:rPr>
          <w:rFonts w:ascii="Times New Roman" w:hAnsi="Times New Roman"/>
          <w:kern w:val="0"/>
        </w:rPr>
      </w:pPr>
    </w:p>
    <w:p w14:paraId="76876503"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General Funds</w:t>
      </w:r>
    </w:p>
    <w:p w14:paraId="433B274A"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General funds are donations and other incoming resources receivable or generated for the objects of the charity without a specific purpose and which the charity may use for its own purpose at its discretion.</w:t>
      </w:r>
    </w:p>
    <w:p w14:paraId="4F5F1DD2" w14:textId="77777777" w:rsidR="002575C6" w:rsidRDefault="002575C6">
      <w:pPr>
        <w:autoSpaceDE w:val="0"/>
        <w:autoSpaceDN w:val="0"/>
        <w:adjustRightInd w:val="0"/>
        <w:spacing w:after="0" w:line="240" w:lineRule="auto"/>
        <w:jc w:val="both"/>
        <w:rPr>
          <w:rFonts w:ascii="Times New Roman" w:hAnsi="Times New Roman"/>
          <w:kern w:val="0"/>
        </w:rPr>
      </w:pPr>
    </w:p>
    <w:p w14:paraId="0F07D643"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Chris Humphreys Memorial Fund</w:t>
      </w:r>
    </w:p>
    <w:p w14:paraId="3AB37B11"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This subsidy fund was set up in 2020 to support newly diagnosed individuals and their families to access our events.</w:t>
      </w:r>
    </w:p>
    <w:p w14:paraId="128513E5" w14:textId="77777777" w:rsidR="002575C6" w:rsidRDefault="002575C6">
      <w:pPr>
        <w:autoSpaceDE w:val="0"/>
        <w:autoSpaceDN w:val="0"/>
        <w:adjustRightInd w:val="0"/>
        <w:spacing w:after="0" w:line="240" w:lineRule="auto"/>
        <w:jc w:val="both"/>
        <w:rPr>
          <w:rFonts w:ascii="Times New Roman" w:hAnsi="Times New Roman"/>
          <w:kern w:val="0"/>
        </w:rPr>
      </w:pPr>
    </w:p>
    <w:p w14:paraId="1658EE11"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Conference Weekend</w:t>
      </w:r>
    </w:p>
    <w:p w14:paraId="6CB1CCA7"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The BBS UK Conference Weekend brings together over 200 service users and interested professionals for a weekend of learning and sharing experiences.</w:t>
      </w:r>
    </w:p>
    <w:p w14:paraId="7C0511A2" w14:textId="77777777" w:rsidR="002575C6" w:rsidRDefault="002575C6">
      <w:pPr>
        <w:autoSpaceDE w:val="0"/>
        <w:autoSpaceDN w:val="0"/>
        <w:adjustRightInd w:val="0"/>
        <w:spacing w:after="0" w:line="240" w:lineRule="auto"/>
        <w:jc w:val="both"/>
        <w:rPr>
          <w:rFonts w:ascii="Times New Roman" w:hAnsi="Times New Roman"/>
          <w:kern w:val="0"/>
        </w:rPr>
      </w:pPr>
    </w:p>
    <w:p w14:paraId="69827480"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IT Equipment Fund</w:t>
      </w:r>
    </w:p>
    <w:p w14:paraId="4CBC4E0E"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This fund was set up in 2021 in response to an increasing need for people with BBS to access services through means of digital technology based upon an assessment of need.</w:t>
      </w:r>
    </w:p>
    <w:p w14:paraId="6F0B5D14" w14:textId="77777777" w:rsidR="002575C6" w:rsidRDefault="002575C6">
      <w:pPr>
        <w:autoSpaceDE w:val="0"/>
        <w:autoSpaceDN w:val="0"/>
        <w:adjustRightInd w:val="0"/>
        <w:spacing w:after="0" w:line="240" w:lineRule="auto"/>
        <w:jc w:val="both"/>
        <w:rPr>
          <w:rFonts w:ascii="Times New Roman" w:hAnsi="Times New Roman"/>
          <w:kern w:val="0"/>
        </w:rPr>
      </w:pPr>
    </w:p>
    <w:p w14:paraId="21FEBAFC"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Fixed Assets</w:t>
      </w:r>
    </w:p>
    <w:p w14:paraId="44580C9F"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Fixed Assets which cannot be used to fund expenditure without being sold.</w:t>
      </w:r>
    </w:p>
    <w:p w14:paraId="00E8F6A6" w14:textId="77777777" w:rsidR="002575C6" w:rsidRDefault="002575C6">
      <w:pPr>
        <w:autoSpaceDE w:val="0"/>
        <w:autoSpaceDN w:val="0"/>
        <w:adjustRightInd w:val="0"/>
        <w:spacing w:after="0" w:line="240" w:lineRule="auto"/>
        <w:jc w:val="both"/>
        <w:rPr>
          <w:rFonts w:ascii="Times New Roman" w:hAnsi="Times New Roman"/>
          <w:kern w:val="0"/>
        </w:rPr>
      </w:pPr>
    </w:p>
    <w:p w14:paraId="044AEB57"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Rareminds Counselling Service</w:t>
      </w:r>
    </w:p>
    <w:p w14:paraId="49332273"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BBS UK is working with Rareminds to provide specialised counselling sessions for those with BBS, who would otherwise find it difficult to access the support needed.</w:t>
      </w:r>
    </w:p>
    <w:p w14:paraId="49BD83CE" w14:textId="77777777" w:rsidR="002575C6" w:rsidRDefault="002575C6">
      <w:pPr>
        <w:autoSpaceDE w:val="0"/>
        <w:autoSpaceDN w:val="0"/>
        <w:adjustRightInd w:val="0"/>
        <w:spacing w:after="0" w:line="240" w:lineRule="auto"/>
        <w:jc w:val="both"/>
        <w:rPr>
          <w:rFonts w:ascii="Times New Roman" w:hAnsi="Times New Roman"/>
          <w:kern w:val="0"/>
        </w:rPr>
      </w:pPr>
    </w:p>
    <w:p w14:paraId="06765141" w14:textId="77777777" w:rsidR="002575C6" w:rsidRDefault="002575C6">
      <w:pPr>
        <w:autoSpaceDE w:val="0"/>
        <w:autoSpaceDN w:val="0"/>
        <w:adjustRightInd w:val="0"/>
        <w:spacing w:after="0" w:line="240" w:lineRule="auto"/>
        <w:jc w:val="both"/>
        <w:rPr>
          <w:rFonts w:ascii="Times New Roman" w:hAnsi="Times New Roman"/>
          <w:kern w:val="0"/>
        </w:rPr>
      </w:pPr>
    </w:p>
    <w:p w14:paraId="0417CECF"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u w:val="single"/>
        </w:rPr>
        <w:t>Restricted Funds</w:t>
      </w:r>
    </w:p>
    <w:p w14:paraId="20658469" w14:textId="77777777" w:rsidR="002575C6" w:rsidRDefault="002575C6">
      <w:pPr>
        <w:autoSpaceDE w:val="0"/>
        <w:autoSpaceDN w:val="0"/>
        <w:adjustRightInd w:val="0"/>
        <w:spacing w:after="0" w:line="240" w:lineRule="auto"/>
        <w:jc w:val="both"/>
        <w:rPr>
          <w:rFonts w:ascii="Times New Roman" w:hAnsi="Times New Roman"/>
          <w:kern w:val="0"/>
        </w:rPr>
      </w:pPr>
    </w:p>
    <w:p w14:paraId="7195863C"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Jeans 4 Genes</w:t>
      </w:r>
    </w:p>
    <w:p w14:paraId="104BA0B0"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Funding to facilitate our work with young people</w:t>
      </w:r>
    </w:p>
    <w:p w14:paraId="40604133" w14:textId="77777777" w:rsidR="002575C6" w:rsidRDefault="002575C6">
      <w:pPr>
        <w:autoSpaceDE w:val="0"/>
        <w:autoSpaceDN w:val="0"/>
        <w:adjustRightInd w:val="0"/>
        <w:spacing w:after="0" w:line="240" w:lineRule="auto"/>
        <w:jc w:val="both"/>
        <w:rPr>
          <w:rFonts w:ascii="Times New Roman" w:hAnsi="Times New Roman"/>
          <w:kern w:val="0"/>
        </w:rPr>
      </w:pPr>
    </w:p>
    <w:p w14:paraId="47B22362"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The National Lottery (Rareminds Counselling Project)</w:t>
      </w:r>
    </w:p>
    <w:p w14:paraId="180448FC"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Funding for our Rareminds Counselling Service</w:t>
      </w:r>
    </w:p>
    <w:p w14:paraId="7770B1FA" w14:textId="77777777" w:rsidR="002575C6" w:rsidRDefault="002575C6">
      <w:pPr>
        <w:autoSpaceDE w:val="0"/>
        <w:autoSpaceDN w:val="0"/>
        <w:adjustRightInd w:val="0"/>
        <w:spacing w:after="0" w:line="240" w:lineRule="auto"/>
        <w:jc w:val="both"/>
        <w:rPr>
          <w:rFonts w:ascii="Times New Roman" w:hAnsi="Times New Roman"/>
          <w:kern w:val="0"/>
        </w:rPr>
      </w:pPr>
    </w:p>
    <w:p w14:paraId="3968BA22"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The Eveson Trust (Transition Project)</w:t>
      </w:r>
    </w:p>
    <w:p w14:paraId="01B97D00"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Funding for development of transition project to support young adults as they transition to adult health care.</w:t>
      </w:r>
    </w:p>
    <w:p w14:paraId="43FD29E3" w14:textId="77777777" w:rsidR="002575C6" w:rsidRDefault="002575C6">
      <w:pPr>
        <w:autoSpaceDE w:val="0"/>
        <w:autoSpaceDN w:val="0"/>
        <w:adjustRightInd w:val="0"/>
        <w:spacing w:after="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84"/>
        <w:gridCol w:w="4098"/>
        <w:gridCol w:w="1588"/>
        <w:gridCol w:w="1531"/>
        <w:gridCol w:w="1533"/>
      </w:tblGrid>
      <w:tr w:rsidR="002575C6" w14:paraId="6ABAA693"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623CCED8"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21</w:t>
            </w:r>
          </w:p>
        </w:tc>
        <w:tc>
          <w:tcPr>
            <w:tcW w:w="8750" w:type="dxa"/>
            <w:gridSpan w:val="4"/>
            <w:tcBorders>
              <w:top w:val="nil"/>
              <w:left w:val="nil"/>
              <w:bottom w:val="nil"/>
              <w:right w:val="nil"/>
            </w:tcBorders>
            <w:shd w:val="clear" w:color="auto" w:fill="FFFFFF"/>
            <w:vAlign w:val="center"/>
          </w:tcPr>
          <w:p w14:paraId="51D81C18"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Analysis of net assets between funds</w:t>
            </w:r>
          </w:p>
        </w:tc>
      </w:tr>
      <w:tr w:rsidR="002575C6" w14:paraId="0F81BA89" w14:textId="77777777">
        <w:tblPrEx>
          <w:tblCellMar>
            <w:top w:w="0" w:type="dxa"/>
            <w:left w:w="0" w:type="dxa"/>
            <w:bottom w:w="0" w:type="dxa"/>
            <w:right w:w="0" w:type="dxa"/>
          </w:tblCellMar>
        </w:tblPrEx>
        <w:tc>
          <w:tcPr>
            <w:tcW w:w="4382" w:type="dxa"/>
            <w:gridSpan w:val="2"/>
            <w:tcBorders>
              <w:top w:val="nil"/>
              <w:left w:val="nil"/>
              <w:bottom w:val="nil"/>
              <w:right w:val="nil"/>
            </w:tcBorders>
            <w:shd w:val="clear" w:color="auto" w:fill="FFFFFF"/>
            <w:vAlign w:val="bottom"/>
          </w:tcPr>
          <w:p w14:paraId="159537C9" w14:textId="77777777" w:rsidR="002575C6" w:rsidRDefault="002575C6">
            <w:pPr>
              <w:autoSpaceDE w:val="0"/>
              <w:autoSpaceDN w:val="0"/>
              <w:adjustRightInd w:val="0"/>
              <w:spacing w:after="0" w:line="240" w:lineRule="auto"/>
              <w:rPr>
                <w:rFonts w:ascii="Times New Roman" w:hAnsi="Times New Roman"/>
                <w:kern w:val="0"/>
              </w:rPr>
            </w:pPr>
          </w:p>
        </w:tc>
        <w:tc>
          <w:tcPr>
            <w:tcW w:w="1588" w:type="dxa"/>
            <w:tcBorders>
              <w:top w:val="nil"/>
              <w:left w:val="nil"/>
              <w:bottom w:val="nil"/>
              <w:right w:val="nil"/>
            </w:tcBorders>
            <w:shd w:val="clear" w:color="auto" w:fill="FFFFFF"/>
            <w:vAlign w:val="bottom"/>
          </w:tcPr>
          <w:p w14:paraId="1889E074"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7C749216"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Restricted</w:t>
            </w:r>
          </w:p>
        </w:tc>
        <w:tc>
          <w:tcPr>
            <w:tcW w:w="1531" w:type="dxa"/>
            <w:tcBorders>
              <w:top w:val="nil"/>
              <w:left w:val="nil"/>
              <w:bottom w:val="nil"/>
              <w:right w:val="nil"/>
            </w:tcBorders>
            <w:shd w:val="clear" w:color="auto" w:fill="FFFFFF"/>
            <w:vAlign w:val="bottom"/>
          </w:tcPr>
          <w:p w14:paraId="1F154EE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 funds at 31 March</w:t>
            </w:r>
          </w:p>
        </w:tc>
      </w:tr>
      <w:tr w:rsidR="002575C6" w14:paraId="072133DA" w14:textId="77777777">
        <w:tblPrEx>
          <w:tblCellMar>
            <w:top w:w="0" w:type="dxa"/>
            <w:left w:w="0" w:type="dxa"/>
            <w:bottom w:w="0" w:type="dxa"/>
            <w:right w:w="0" w:type="dxa"/>
          </w:tblCellMar>
        </w:tblPrEx>
        <w:tc>
          <w:tcPr>
            <w:tcW w:w="4382" w:type="dxa"/>
            <w:gridSpan w:val="2"/>
            <w:tcBorders>
              <w:top w:val="nil"/>
              <w:left w:val="nil"/>
              <w:bottom w:val="nil"/>
              <w:right w:val="nil"/>
            </w:tcBorders>
            <w:shd w:val="clear" w:color="auto" w:fill="FFFFFF"/>
            <w:vAlign w:val="bottom"/>
          </w:tcPr>
          <w:p w14:paraId="7EDDC47A" w14:textId="77777777" w:rsidR="002575C6" w:rsidRDefault="002575C6">
            <w:pPr>
              <w:autoSpaceDE w:val="0"/>
              <w:autoSpaceDN w:val="0"/>
              <w:adjustRightInd w:val="0"/>
              <w:spacing w:after="0" w:line="240" w:lineRule="auto"/>
              <w:rPr>
                <w:rFonts w:ascii="Times New Roman" w:hAnsi="Times New Roman"/>
                <w:kern w:val="0"/>
              </w:rPr>
            </w:pPr>
          </w:p>
        </w:tc>
        <w:tc>
          <w:tcPr>
            <w:tcW w:w="1588" w:type="dxa"/>
            <w:tcBorders>
              <w:top w:val="nil"/>
              <w:left w:val="nil"/>
              <w:bottom w:val="nil"/>
              <w:right w:val="nil"/>
            </w:tcBorders>
            <w:shd w:val="clear" w:color="auto" w:fill="FFFFFF"/>
            <w:vAlign w:val="bottom"/>
          </w:tcPr>
          <w:p w14:paraId="1CC76AB1"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2954D13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funds</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35EAADFB"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01D92DBE" w14:textId="77777777">
        <w:tblPrEx>
          <w:tblCellMar>
            <w:top w:w="0" w:type="dxa"/>
            <w:left w:w="0" w:type="dxa"/>
            <w:bottom w:w="0" w:type="dxa"/>
            <w:right w:w="0" w:type="dxa"/>
          </w:tblCellMar>
        </w:tblPrEx>
        <w:tc>
          <w:tcPr>
            <w:tcW w:w="4382" w:type="dxa"/>
            <w:gridSpan w:val="2"/>
            <w:tcBorders>
              <w:top w:val="nil"/>
              <w:left w:val="nil"/>
              <w:bottom w:val="nil"/>
              <w:right w:val="nil"/>
            </w:tcBorders>
            <w:shd w:val="clear" w:color="auto" w:fill="FFFFFF"/>
            <w:vAlign w:val="bottom"/>
          </w:tcPr>
          <w:p w14:paraId="1FCEF87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Tangible fixed assets</w:t>
            </w:r>
          </w:p>
        </w:tc>
        <w:tc>
          <w:tcPr>
            <w:tcW w:w="1588" w:type="dxa"/>
            <w:tcBorders>
              <w:top w:val="nil"/>
              <w:left w:val="nil"/>
              <w:bottom w:val="nil"/>
              <w:right w:val="nil"/>
            </w:tcBorders>
            <w:shd w:val="clear" w:color="auto" w:fill="FFFFFF"/>
            <w:vAlign w:val="bottom"/>
          </w:tcPr>
          <w:p w14:paraId="621F48B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5,137</w:t>
            </w:r>
          </w:p>
        </w:tc>
        <w:tc>
          <w:tcPr>
            <w:tcW w:w="1531" w:type="dxa"/>
            <w:tcBorders>
              <w:top w:val="nil"/>
              <w:left w:val="nil"/>
              <w:bottom w:val="nil"/>
              <w:right w:val="nil"/>
            </w:tcBorders>
            <w:shd w:val="clear" w:color="auto" w:fill="FFFFFF"/>
            <w:vAlign w:val="bottom"/>
          </w:tcPr>
          <w:p w14:paraId="6534AF7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313CBAD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5,137</w:t>
            </w:r>
          </w:p>
        </w:tc>
      </w:tr>
      <w:tr w:rsidR="002575C6" w14:paraId="5314EFF9" w14:textId="77777777">
        <w:tblPrEx>
          <w:tblCellMar>
            <w:top w:w="0" w:type="dxa"/>
            <w:left w:w="0" w:type="dxa"/>
            <w:bottom w:w="0" w:type="dxa"/>
            <w:right w:w="0" w:type="dxa"/>
          </w:tblCellMar>
        </w:tblPrEx>
        <w:tc>
          <w:tcPr>
            <w:tcW w:w="4382" w:type="dxa"/>
            <w:gridSpan w:val="2"/>
            <w:tcBorders>
              <w:top w:val="nil"/>
              <w:left w:val="nil"/>
              <w:bottom w:val="nil"/>
              <w:right w:val="nil"/>
            </w:tcBorders>
            <w:shd w:val="clear" w:color="auto" w:fill="FFFFFF"/>
            <w:vAlign w:val="bottom"/>
          </w:tcPr>
          <w:p w14:paraId="03BC7EC2"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Current assets</w:t>
            </w:r>
          </w:p>
        </w:tc>
        <w:tc>
          <w:tcPr>
            <w:tcW w:w="1588" w:type="dxa"/>
            <w:tcBorders>
              <w:top w:val="nil"/>
              <w:left w:val="nil"/>
              <w:bottom w:val="nil"/>
              <w:right w:val="nil"/>
            </w:tcBorders>
            <w:shd w:val="clear" w:color="auto" w:fill="FFFFFF"/>
            <w:vAlign w:val="bottom"/>
          </w:tcPr>
          <w:p w14:paraId="71579CD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292,712</w:t>
            </w:r>
          </w:p>
        </w:tc>
        <w:tc>
          <w:tcPr>
            <w:tcW w:w="1531" w:type="dxa"/>
            <w:tcBorders>
              <w:top w:val="nil"/>
              <w:left w:val="nil"/>
              <w:bottom w:val="nil"/>
              <w:right w:val="nil"/>
            </w:tcBorders>
            <w:shd w:val="clear" w:color="auto" w:fill="FFFFFF"/>
            <w:vAlign w:val="bottom"/>
          </w:tcPr>
          <w:p w14:paraId="4927BB3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25,668</w:t>
            </w:r>
          </w:p>
        </w:tc>
        <w:tc>
          <w:tcPr>
            <w:tcW w:w="1531" w:type="dxa"/>
            <w:tcBorders>
              <w:top w:val="nil"/>
              <w:left w:val="nil"/>
              <w:bottom w:val="nil"/>
              <w:right w:val="nil"/>
            </w:tcBorders>
            <w:shd w:val="clear" w:color="auto" w:fill="FFFFFF"/>
            <w:vAlign w:val="bottom"/>
          </w:tcPr>
          <w:p w14:paraId="1445C14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318,380</w:t>
            </w:r>
          </w:p>
        </w:tc>
      </w:tr>
      <w:tr w:rsidR="002575C6" w14:paraId="4418A34A" w14:textId="77777777">
        <w:tblPrEx>
          <w:tblCellMar>
            <w:top w:w="0" w:type="dxa"/>
            <w:left w:w="0" w:type="dxa"/>
            <w:bottom w:w="0" w:type="dxa"/>
            <w:right w:w="0" w:type="dxa"/>
          </w:tblCellMar>
        </w:tblPrEx>
        <w:tc>
          <w:tcPr>
            <w:tcW w:w="4382" w:type="dxa"/>
            <w:gridSpan w:val="2"/>
            <w:tcBorders>
              <w:top w:val="nil"/>
              <w:left w:val="nil"/>
              <w:bottom w:val="nil"/>
              <w:right w:val="nil"/>
            </w:tcBorders>
            <w:shd w:val="clear" w:color="auto" w:fill="FFFFFF"/>
            <w:vAlign w:val="bottom"/>
          </w:tcPr>
          <w:p w14:paraId="65471738"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Current liabilities</w:t>
            </w:r>
          </w:p>
        </w:tc>
        <w:tc>
          <w:tcPr>
            <w:tcW w:w="1588" w:type="dxa"/>
            <w:tcBorders>
              <w:top w:val="nil"/>
              <w:left w:val="nil"/>
              <w:bottom w:val="single" w:sz="2" w:space="0" w:color="auto"/>
              <w:right w:val="nil"/>
            </w:tcBorders>
            <w:shd w:val="clear" w:color="auto" w:fill="FFFFFF"/>
            <w:vAlign w:val="bottom"/>
          </w:tcPr>
          <w:p w14:paraId="7352B18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(20,778)</w:t>
            </w:r>
          </w:p>
        </w:tc>
        <w:tc>
          <w:tcPr>
            <w:tcW w:w="1531" w:type="dxa"/>
            <w:tcBorders>
              <w:top w:val="nil"/>
              <w:left w:val="nil"/>
              <w:bottom w:val="single" w:sz="2" w:space="0" w:color="auto"/>
              <w:right w:val="nil"/>
            </w:tcBorders>
            <w:shd w:val="clear" w:color="auto" w:fill="FFFFFF"/>
            <w:vAlign w:val="bottom"/>
          </w:tcPr>
          <w:p w14:paraId="4671A7B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single" w:sz="2" w:space="0" w:color="auto"/>
              <w:right w:val="nil"/>
            </w:tcBorders>
            <w:shd w:val="clear" w:color="auto" w:fill="FFFFFF"/>
            <w:vAlign w:val="bottom"/>
          </w:tcPr>
          <w:p w14:paraId="113BF45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(20,778)</w:t>
            </w:r>
          </w:p>
        </w:tc>
      </w:tr>
      <w:tr w:rsidR="002575C6" w14:paraId="03C0269B" w14:textId="77777777">
        <w:tblPrEx>
          <w:tblCellMar>
            <w:top w:w="0" w:type="dxa"/>
            <w:left w:w="0" w:type="dxa"/>
            <w:bottom w:w="0" w:type="dxa"/>
            <w:right w:w="0" w:type="dxa"/>
          </w:tblCellMar>
        </w:tblPrEx>
        <w:tc>
          <w:tcPr>
            <w:tcW w:w="4382" w:type="dxa"/>
            <w:gridSpan w:val="2"/>
            <w:tcBorders>
              <w:top w:val="nil"/>
              <w:left w:val="nil"/>
              <w:bottom w:val="nil"/>
              <w:right w:val="nil"/>
            </w:tcBorders>
            <w:shd w:val="clear" w:color="auto" w:fill="FFFFFF"/>
            <w:vAlign w:val="bottom"/>
          </w:tcPr>
          <w:p w14:paraId="003D1BE3"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Total net assets</w:t>
            </w:r>
          </w:p>
        </w:tc>
        <w:tc>
          <w:tcPr>
            <w:tcW w:w="1588" w:type="dxa"/>
            <w:tcBorders>
              <w:top w:val="nil"/>
              <w:left w:val="nil"/>
              <w:bottom w:val="double" w:sz="2" w:space="0" w:color="auto"/>
              <w:right w:val="nil"/>
            </w:tcBorders>
            <w:shd w:val="clear" w:color="auto" w:fill="FFFFFF"/>
            <w:vAlign w:val="bottom"/>
          </w:tcPr>
          <w:p w14:paraId="43638A5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277,071</w:t>
            </w:r>
          </w:p>
        </w:tc>
        <w:tc>
          <w:tcPr>
            <w:tcW w:w="1531" w:type="dxa"/>
            <w:tcBorders>
              <w:top w:val="nil"/>
              <w:left w:val="nil"/>
              <w:bottom w:val="double" w:sz="2" w:space="0" w:color="auto"/>
              <w:right w:val="nil"/>
            </w:tcBorders>
            <w:shd w:val="clear" w:color="auto" w:fill="FFFFFF"/>
            <w:vAlign w:val="bottom"/>
          </w:tcPr>
          <w:p w14:paraId="5CBDF76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25,668</w:t>
            </w:r>
          </w:p>
        </w:tc>
        <w:tc>
          <w:tcPr>
            <w:tcW w:w="1531" w:type="dxa"/>
            <w:tcBorders>
              <w:top w:val="nil"/>
              <w:left w:val="nil"/>
              <w:bottom w:val="double" w:sz="2" w:space="0" w:color="auto"/>
              <w:right w:val="nil"/>
            </w:tcBorders>
            <w:shd w:val="clear" w:color="auto" w:fill="FFFFFF"/>
            <w:vAlign w:val="bottom"/>
          </w:tcPr>
          <w:p w14:paraId="7EC9188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302,739</w:t>
            </w:r>
          </w:p>
        </w:tc>
      </w:tr>
    </w:tbl>
    <w:p w14:paraId="7D95B723"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46"/>
          <w:pgSz w:w="11909" w:h="16834"/>
          <w:pgMar w:top="1440" w:right="1440" w:bottom="1440" w:left="1440" w:header="720" w:footer="720" w:gutter="0"/>
          <w:cols w:space="720"/>
          <w:noEndnote/>
        </w:sectPr>
      </w:pPr>
    </w:p>
    <w:p w14:paraId="739FA7B5"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EF1BD78"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4098"/>
        <w:gridCol w:w="1588"/>
        <w:gridCol w:w="1531"/>
        <w:gridCol w:w="1533"/>
      </w:tblGrid>
      <w:tr w:rsidR="002575C6" w14:paraId="4A809D88" w14:textId="77777777">
        <w:tblPrEx>
          <w:tblCellMar>
            <w:top w:w="0" w:type="dxa"/>
            <w:left w:w="0" w:type="dxa"/>
            <w:bottom w:w="0" w:type="dxa"/>
            <w:right w:w="0" w:type="dxa"/>
          </w:tblCellMar>
        </w:tblPrEx>
        <w:tc>
          <w:tcPr>
            <w:tcW w:w="4382" w:type="dxa"/>
            <w:gridSpan w:val="2"/>
            <w:tcBorders>
              <w:top w:val="nil"/>
              <w:left w:val="nil"/>
              <w:bottom w:val="nil"/>
              <w:right w:val="nil"/>
            </w:tcBorders>
            <w:shd w:val="clear" w:color="auto" w:fill="FFFFFF"/>
            <w:vAlign w:val="bottom"/>
          </w:tcPr>
          <w:p w14:paraId="2AFE8208" w14:textId="77777777" w:rsidR="002575C6" w:rsidRDefault="002575C6">
            <w:pPr>
              <w:autoSpaceDE w:val="0"/>
              <w:autoSpaceDN w:val="0"/>
              <w:adjustRightInd w:val="0"/>
              <w:spacing w:after="0" w:line="240" w:lineRule="auto"/>
              <w:rPr>
                <w:rFonts w:ascii="Times New Roman" w:hAnsi="Times New Roman"/>
                <w:kern w:val="0"/>
              </w:rPr>
            </w:pPr>
          </w:p>
        </w:tc>
        <w:tc>
          <w:tcPr>
            <w:tcW w:w="1588" w:type="dxa"/>
            <w:tcBorders>
              <w:top w:val="nil"/>
              <w:left w:val="nil"/>
              <w:bottom w:val="nil"/>
              <w:right w:val="nil"/>
            </w:tcBorders>
            <w:shd w:val="clear" w:color="auto" w:fill="FFFFFF"/>
            <w:vAlign w:val="bottom"/>
          </w:tcPr>
          <w:p w14:paraId="00CF33CB"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28029FC8"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Restricted</w:t>
            </w:r>
          </w:p>
        </w:tc>
        <w:tc>
          <w:tcPr>
            <w:tcW w:w="1531" w:type="dxa"/>
            <w:tcBorders>
              <w:top w:val="nil"/>
              <w:left w:val="nil"/>
              <w:bottom w:val="nil"/>
              <w:right w:val="nil"/>
            </w:tcBorders>
            <w:shd w:val="clear" w:color="auto" w:fill="FFFFFF"/>
            <w:vAlign w:val="bottom"/>
          </w:tcPr>
          <w:p w14:paraId="07B87581"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 funds at 31 March</w:t>
            </w:r>
          </w:p>
        </w:tc>
      </w:tr>
      <w:tr w:rsidR="002575C6" w14:paraId="215D259B" w14:textId="77777777">
        <w:tblPrEx>
          <w:tblCellMar>
            <w:top w:w="0" w:type="dxa"/>
            <w:left w:w="0" w:type="dxa"/>
            <w:bottom w:w="0" w:type="dxa"/>
            <w:right w:w="0" w:type="dxa"/>
          </w:tblCellMar>
        </w:tblPrEx>
        <w:tc>
          <w:tcPr>
            <w:tcW w:w="4382" w:type="dxa"/>
            <w:gridSpan w:val="2"/>
            <w:tcBorders>
              <w:top w:val="nil"/>
              <w:left w:val="nil"/>
              <w:bottom w:val="nil"/>
              <w:right w:val="nil"/>
            </w:tcBorders>
            <w:shd w:val="clear" w:color="auto" w:fill="FFFFFF"/>
            <w:vAlign w:val="bottom"/>
          </w:tcPr>
          <w:p w14:paraId="43284D6D" w14:textId="77777777" w:rsidR="002575C6" w:rsidRDefault="002575C6">
            <w:pPr>
              <w:autoSpaceDE w:val="0"/>
              <w:autoSpaceDN w:val="0"/>
              <w:adjustRightInd w:val="0"/>
              <w:spacing w:after="0" w:line="240" w:lineRule="auto"/>
              <w:rPr>
                <w:rFonts w:ascii="Times New Roman" w:hAnsi="Times New Roman"/>
                <w:kern w:val="0"/>
              </w:rPr>
            </w:pPr>
          </w:p>
        </w:tc>
        <w:tc>
          <w:tcPr>
            <w:tcW w:w="1588" w:type="dxa"/>
            <w:tcBorders>
              <w:top w:val="nil"/>
              <w:left w:val="nil"/>
              <w:bottom w:val="nil"/>
              <w:right w:val="nil"/>
            </w:tcBorders>
            <w:shd w:val="clear" w:color="auto" w:fill="FFFFFF"/>
            <w:vAlign w:val="bottom"/>
          </w:tcPr>
          <w:p w14:paraId="7C2F16A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3585E103"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funds</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6C15F4C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5DD5B4EE" w14:textId="77777777">
        <w:tblPrEx>
          <w:tblCellMar>
            <w:top w:w="0" w:type="dxa"/>
            <w:left w:w="0" w:type="dxa"/>
            <w:bottom w:w="0" w:type="dxa"/>
            <w:right w:w="0" w:type="dxa"/>
          </w:tblCellMar>
        </w:tblPrEx>
        <w:tc>
          <w:tcPr>
            <w:tcW w:w="4382" w:type="dxa"/>
            <w:gridSpan w:val="2"/>
            <w:tcBorders>
              <w:top w:val="nil"/>
              <w:left w:val="nil"/>
              <w:bottom w:val="nil"/>
              <w:right w:val="nil"/>
            </w:tcBorders>
            <w:shd w:val="clear" w:color="auto" w:fill="FFFFFF"/>
            <w:vAlign w:val="bottom"/>
          </w:tcPr>
          <w:p w14:paraId="0D78699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Tangible fixed assets</w:t>
            </w:r>
          </w:p>
        </w:tc>
        <w:tc>
          <w:tcPr>
            <w:tcW w:w="1588" w:type="dxa"/>
            <w:tcBorders>
              <w:top w:val="nil"/>
              <w:left w:val="nil"/>
              <w:bottom w:val="nil"/>
              <w:right w:val="nil"/>
            </w:tcBorders>
            <w:shd w:val="clear" w:color="auto" w:fill="FFFFFF"/>
            <w:vAlign w:val="bottom"/>
          </w:tcPr>
          <w:p w14:paraId="5F77041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c>
          <w:tcPr>
            <w:tcW w:w="1531" w:type="dxa"/>
            <w:tcBorders>
              <w:top w:val="nil"/>
              <w:left w:val="nil"/>
              <w:bottom w:val="nil"/>
              <w:right w:val="nil"/>
            </w:tcBorders>
            <w:shd w:val="clear" w:color="auto" w:fill="FFFFFF"/>
            <w:vAlign w:val="bottom"/>
          </w:tcPr>
          <w:p w14:paraId="73E3EDF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0A2C3AB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r>
      <w:tr w:rsidR="002575C6" w14:paraId="5031F947" w14:textId="77777777">
        <w:tblPrEx>
          <w:tblCellMar>
            <w:top w:w="0" w:type="dxa"/>
            <w:left w:w="0" w:type="dxa"/>
            <w:bottom w:w="0" w:type="dxa"/>
            <w:right w:w="0" w:type="dxa"/>
          </w:tblCellMar>
        </w:tblPrEx>
        <w:tc>
          <w:tcPr>
            <w:tcW w:w="4382" w:type="dxa"/>
            <w:gridSpan w:val="2"/>
            <w:tcBorders>
              <w:top w:val="nil"/>
              <w:left w:val="nil"/>
              <w:bottom w:val="nil"/>
              <w:right w:val="nil"/>
            </w:tcBorders>
            <w:shd w:val="clear" w:color="auto" w:fill="FFFFFF"/>
            <w:vAlign w:val="bottom"/>
          </w:tcPr>
          <w:p w14:paraId="6A8AF39D"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Current assets</w:t>
            </w:r>
          </w:p>
        </w:tc>
        <w:tc>
          <w:tcPr>
            <w:tcW w:w="1588" w:type="dxa"/>
            <w:tcBorders>
              <w:top w:val="nil"/>
              <w:left w:val="nil"/>
              <w:bottom w:val="nil"/>
              <w:right w:val="nil"/>
            </w:tcBorders>
            <w:shd w:val="clear" w:color="auto" w:fill="FFFFFF"/>
            <w:vAlign w:val="bottom"/>
          </w:tcPr>
          <w:p w14:paraId="6FB0B01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211,302</w:t>
            </w:r>
          </w:p>
        </w:tc>
        <w:tc>
          <w:tcPr>
            <w:tcW w:w="1531" w:type="dxa"/>
            <w:tcBorders>
              <w:top w:val="nil"/>
              <w:left w:val="nil"/>
              <w:bottom w:val="nil"/>
              <w:right w:val="nil"/>
            </w:tcBorders>
            <w:shd w:val="clear" w:color="auto" w:fill="FFFFFF"/>
            <w:vAlign w:val="bottom"/>
          </w:tcPr>
          <w:p w14:paraId="68613FD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c>
          <w:tcPr>
            <w:tcW w:w="1531" w:type="dxa"/>
            <w:tcBorders>
              <w:top w:val="nil"/>
              <w:left w:val="nil"/>
              <w:bottom w:val="nil"/>
              <w:right w:val="nil"/>
            </w:tcBorders>
            <w:shd w:val="clear" w:color="auto" w:fill="FFFFFF"/>
            <w:vAlign w:val="bottom"/>
          </w:tcPr>
          <w:p w14:paraId="75DA3BB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214,092</w:t>
            </w:r>
          </w:p>
        </w:tc>
      </w:tr>
      <w:tr w:rsidR="002575C6" w14:paraId="3BD5C4CD" w14:textId="77777777">
        <w:tblPrEx>
          <w:tblCellMar>
            <w:top w:w="0" w:type="dxa"/>
            <w:left w:w="0" w:type="dxa"/>
            <w:bottom w:w="0" w:type="dxa"/>
            <w:right w:w="0" w:type="dxa"/>
          </w:tblCellMar>
        </w:tblPrEx>
        <w:tc>
          <w:tcPr>
            <w:tcW w:w="4382" w:type="dxa"/>
            <w:gridSpan w:val="2"/>
            <w:tcBorders>
              <w:top w:val="nil"/>
              <w:left w:val="nil"/>
              <w:bottom w:val="nil"/>
              <w:right w:val="nil"/>
            </w:tcBorders>
            <w:shd w:val="clear" w:color="auto" w:fill="FFFFFF"/>
            <w:vAlign w:val="bottom"/>
          </w:tcPr>
          <w:p w14:paraId="2835075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Current liabilities</w:t>
            </w:r>
          </w:p>
        </w:tc>
        <w:tc>
          <w:tcPr>
            <w:tcW w:w="1588" w:type="dxa"/>
            <w:tcBorders>
              <w:top w:val="nil"/>
              <w:left w:val="nil"/>
              <w:bottom w:val="single" w:sz="2" w:space="0" w:color="auto"/>
              <w:right w:val="nil"/>
            </w:tcBorders>
            <w:shd w:val="clear" w:color="auto" w:fill="FFFFFF"/>
            <w:vAlign w:val="bottom"/>
          </w:tcPr>
          <w:p w14:paraId="15665ED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(15,666)</w:t>
            </w:r>
          </w:p>
        </w:tc>
        <w:tc>
          <w:tcPr>
            <w:tcW w:w="1531" w:type="dxa"/>
            <w:tcBorders>
              <w:top w:val="nil"/>
              <w:left w:val="nil"/>
              <w:bottom w:val="single" w:sz="2" w:space="0" w:color="auto"/>
              <w:right w:val="nil"/>
            </w:tcBorders>
            <w:shd w:val="clear" w:color="auto" w:fill="FFFFFF"/>
            <w:vAlign w:val="bottom"/>
          </w:tcPr>
          <w:p w14:paraId="1350D1E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single" w:sz="2" w:space="0" w:color="auto"/>
              <w:right w:val="nil"/>
            </w:tcBorders>
            <w:shd w:val="clear" w:color="auto" w:fill="FFFFFF"/>
            <w:vAlign w:val="bottom"/>
          </w:tcPr>
          <w:p w14:paraId="1E9100B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(15,666)</w:t>
            </w:r>
          </w:p>
        </w:tc>
      </w:tr>
      <w:tr w:rsidR="002575C6" w14:paraId="617770FD" w14:textId="77777777">
        <w:tblPrEx>
          <w:tblCellMar>
            <w:top w:w="0" w:type="dxa"/>
            <w:left w:w="0" w:type="dxa"/>
            <w:bottom w:w="0" w:type="dxa"/>
            <w:right w:w="0" w:type="dxa"/>
          </w:tblCellMar>
        </w:tblPrEx>
        <w:tc>
          <w:tcPr>
            <w:tcW w:w="4382" w:type="dxa"/>
            <w:gridSpan w:val="2"/>
            <w:tcBorders>
              <w:top w:val="nil"/>
              <w:left w:val="nil"/>
              <w:bottom w:val="nil"/>
              <w:right w:val="nil"/>
            </w:tcBorders>
            <w:shd w:val="clear" w:color="auto" w:fill="FFFFFF"/>
            <w:vAlign w:val="bottom"/>
          </w:tcPr>
          <w:p w14:paraId="12EBAF29"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Total net assets</w:t>
            </w:r>
          </w:p>
        </w:tc>
        <w:tc>
          <w:tcPr>
            <w:tcW w:w="1588" w:type="dxa"/>
            <w:tcBorders>
              <w:top w:val="nil"/>
              <w:left w:val="nil"/>
              <w:bottom w:val="double" w:sz="2" w:space="0" w:color="auto"/>
              <w:right w:val="nil"/>
            </w:tcBorders>
            <w:shd w:val="clear" w:color="auto" w:fill="FFFFFF"/>
            <w:vAlign w:val="bottom"/>
          </w:tcPr>
          <w:p w14:paraId="76AB84B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198,877</w:t>
            </w:r>
          </w:p>
        </w:tc>
        <w:tc>
          <w:tcPr>
            <w:tcW w:w="1531" w:type="dxa"/>
            <w:tcBorders>
              <w:top w:val="nil"/>
              <w:left w:val="nil"/>
              <w:bottom w:val="double" w:sz="2" w:space="0" w:color="auto"/>
              <w:right w:val="nil"/>
            </w:tcBorders>
            <w:shd w:val="clear" w:color="auto" w:fill="FFFFFF"/>
            <w:vAlign w:val="bottom"/>
          </w:tcPr>
          <w:p w14:paraId="2D0E817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c>
          <w:tcPr>
            <w:tcW w:w="1531" w:type="dxa"/>
            <w:tcBorders>
              <w:top w:val="nil"/>
              <w:left w:val="nil"/>
              <w:bottom w:val="double" w:sz="2" w:space="0" w:color="auto"/>
              <w:right w:val="nil"/>
            </w:tcBorders>
            <w:shd w:val="clear" w:color="auto" w:fill="FFFFFF"/>
            <w:vAlign w:val="bottom"/>
          </w:tcPr>
          <w:p w14:paraId="2089CC8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201,667</w:t>
            </w:r>
          </w:p>
        </w:tc>
      </w:tr>
      <w:tr w:rsidR="002575C6" w14:paraId="078E68BC" w14:textId="77777777">
        <w:tblPrEx>
          <w:tblCellMar>
            <w:top w:w="0" w:type="dxa"/>
            <w:left w:w="0" w:type="dxa"/>
            <w:bottom w:w="0" w:type="dxa"/>
            <w:right w:w="0" w:type="dxa"/>
          </w:tblCellMar>
        </w:tblPrEx>
        <w:tc>
          <w:tcPr>
            <w:tcW w:w="284" w:type="dxa"/>
            <w:tcBorders>
              <w:top w:val="nil"/>
              <w:left w:val="nil"/>
              <w:bottom w:val="nil"/>
              <w:right w:val="nil"/>
            </w:tcBorders>
            <w:shd w:val="clear" w:color="auto" w:fill="FFFFFF"/>
            <w:vAlign w:val="center"/>
          </w:tcPr>
          <w:p w14:paraId="3E368AFA"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22</w:t>
            </w:r>
          </w:p>
        </w:tc>
        <w:tc>
          <w:tcPr>
            <w:tcW w:w="8750" w:type="dxa"/>
            <w:gridSpan w:val="4"/>
            <w:tcBorders>
              <w:top w:val="nil"/>
              <w:left w:val="nil"/>
              <w:bottom w:val="nil"/>
              <w:right w:val="nil"/>
            </w:tcBorders>
            <w:shd w:val="clear" w:color="auto" w:fill="FFFFFF"/>
            <w:vAlign w:val="center"/>
          </w:tcPr>
          <w:p w14:paraId="4D7E7655"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Related party transactions</w:t>
            </w:r>
          </w:p>
        </w:tc>
      </w:tr>
    </w:tbl>
    <w:p w14:paraId="7D549D3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There were no related party transactions in the year.</w:t>
      </w:r>
    </w:p>
    <w:p w14:paraId="321FDAD6" w14:textId="77777777" w:rsidR="002575C6" w:rsidRDefault="002575C6">
      <w:pPr>
        <w:widowControl w:val="0"/>
        <w:autoSpaceDE w:val="0"/>
        <w:autoSpaceDN w:val="0"/>
        <w:adjustRightInd w:val="0"/>
        <w:spacing w:after="0" w:line="240" w:lineRule="auto"/>
        <w:rPr>
          <w:rFonts w:ascii="Times New Roman" w:hAnsi="Times New Roman"/>
          <w:kern w:val="0"/>
        </w:rPr>
      </w:pPr>
    </w:p>
    <w:sectPr w:rsidR="002575C6">
      <w:footerReference w:type="default" r:id="rId47"/>
      <w:pgSz w:w="11909" w:h="16834"/>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3641" w14:textId="77777777" w:rsidR="002575C6" w:rsidRDefault="002575C6">
      <w:pPr>
        <w:spacing w:after="0" w:line="240" w:lineRule="auto"/>
      </w:pPr>
      <w:r>
        <w:separator/>
      </w:r>
    </w:p>
  </w:endnote>
  <w:endnote w:type="continuationSeparator" w:id="0">
    <w:p w14:paraId="6979E9D5" w14:textId="77777777" w:rsidR="002575C6" w:rsidRDefault="0025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73BB" w14:textId="77777777" w:rsidR="002575C6" w:rsidRDefault="002575C6">
    <w:pPr>
      <w:autoSpaceDE w:val="0"/>
      <w:autoSpaceDN w:val="0"/>
      <w:adjustRightInd w:val="0"/>
      <w:spacing w:after="0" w:line="240" w:lineRule="auto"/>
      <w:rPr>
        <w:rFonts w:ascii="Times New Roman" w:hAnsi="Times New Roman"/>
        <w:kern w:val="0"/>
      </w:rPr>
    </w:pPr>
  </w:p>
  <w:p w14:paraId="4001B11D" w14:textId="77777777" w:rsidR="002575C6" w:rsidRDefault="002575C6">
    <w:pPr>
      <w:autoSpaceDE w:val="0"/>
      <w:autoSpaceDN w:val="0"/>
      <w:adjustRightInd w:val="0"/>
      <w:spacing w:after="0" w:line="240" w:lineRule="auto"/>
      <w:rPr>
        <w:rFonts w:ascii="Times New Roman" w:hAnsi="Times New Roman"/>
        <w:kern w:val="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668F"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4F72104"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462236D8"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99ECD78"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8</w:t>
          </w:r>
        </w:p>
      </w:tc>
      <w:tc>
        <w:tcPr>
          <w:tcW w:w="2710" w:type="dxa"/>
          <w:tcBorders>
            <w:top w:val="nil"/>
            <w:left w:val="nil"/>
            <w:bottom w:val="nil"/>
            <w:right w:val="nil"/>
          </w:tcBorders>
          <w:shd w:val="clear" w:color="auto" w:fill="FFFFFF"/>
          <w:vAlign w:val="bottom"/>
        </w:tcPr>
        <w:p w14:paraId="4C3D4118" w14:textId="77777777" w:rsidR="002575C6" w:rsidRDefault="002575C6">
          <w:pPr>
            <w:autoSpaceDE w:val="0"/>
            <w:autoSpaceDN w:val="0"/>
            <w:adjustRightInd w:val="0"/>
            <w:spacing w:after="0" w:line="240" w:lineRule="auto"/>
            <w:rPr>
              <w:rFonts w:ascii="Times New Roman" w:hAnsi="Times New Roman"/>
              <w:kern w:val="0"/>
            </w:rPr>
          </w:pPr>
        </w:p>
      </w:tc>
    </w:tr>
  </w:tbl>
  <w:p w14:paraId="77BA747C" w14:textId="77777777" w:rsidR="002575C6" w:rsidRDefault="002575C6">
    <w:pPr>
      <w:autoSpaceDE w:val="0"/>
      <w:autoSpaceDN w:val="0"/>
      <w:adjustRightInd w:val="0"/>
      <w:spacing w:after="0" w:line="240" w:lineRule="atLeast"/>
      <w:rPr>
        <w:rFonts w:ascii="Times New Roman" w:hAnsi="Times New Roman"/>
        <w:kern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40C9"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D07A6F4"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1F14502A"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6954195F"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9</w:t>
          </w:r>
        </w:p>
      </w:tc>
      <w:tc>
        <w:tcPr>
          <w:tcW w:w="2710" w:type="dxa"/>
          <w:tcBorders>
            <w:top w:val="nil"/>
            <w:left w:val="nil"/>
            <w:bottom w:val="nil"/>
            <w:right w:val="nil"/>
          </w:tcBorders>
          <w:shd w:val="clear" w:color="auto" w:fill="FFFFFF"/>
          <w:vAlign w:val="bottom"/>
        </w:tcPr>
        <w:p w14:paraId="5A5E419A" w14:textId="77777777" w:rsidR="002575C6" w:rsidRDefault="002575C6">
          <w:pPr>
            <w:autoSpaceDE w:val="0"/>
            <w:autoSpaceDN w:val="0"/>
            <w:adjustRightInd w:val="0"/>
            <w:spacing w:after="0" w:line="240" w:lineRule="auto"/>
            <w:rPr>
              <w:rFonts w:ascii="Times New Roman" w:hAnsi="Times New Roman"/>
              <w:kern w:val="0"/>
            </w:rPr>
          </w:pPr>
        </w:p>
      </w:tc>
    </w:tr>
  </w:tbl>
  <w:p w14:paraId="599CE210" w14:textId="77777777" w:rsidR="002575C6" w:rsidRDefault="002575C6">
    <w:pPr>
      <w:autoSpaceDE w:val="0"/>
      <w:autoSpaceDN w:val="0"/>
      <w:adjustRightInd w:val="0"/>
      <w:spacing w:after="0" w:line="240" w:lineRule="atLeast"/>
      <w:rPr>
        <w:rFonts w:ascii="Times New Roman" w:hAnsi="Times New Roman"/>
        <w:kern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8583"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B4DB834"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5ABCA278"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11B1B20F"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10</w:t>
          </w:r>
        </w:p>
      </w:tc>
      <w:tc>
        <w:tcPr>
          <w:tcW w:w="2710" w:type="dxa"/>
          <w:tcBorders>
            <w:top w:val="nil"/>
            <w:left w:val="nil"/>
            <w:bottom w:val="nil"/>
            <w:right w:val="nil"/>
          </w:tcBorders>
          <w:shd w:val="clear" w:color="auto" w:fill="FFFFFF"/>
          <w:vAlign w:val="bottom"/>
        </w:tcPr>
        <w:p w14:paraId="6908A278" w14:textId="77777777" w:rsidR="002575C6" w:rsidRDefault="002575C6">
          <w:pPr>
            <w:autoSpaceDE w:val="0"/>
            <w:autoSpaceDN w:val="0"/>
            <w:adjustRightInd w:val="0"/>
            <w:spacing w:after="0" w:line="240" w:lineRule="auto"/>
            <w:rPr>
              <w:rFonts w:ascii="Times New Roman" w:hAnsi="Times New Roman"/>
              <w:kern w:val="0"/>
            </w:rPr>
          </w:pPr>
        </w:p>
      </w:tc>
    </w:tr>
  </w:tbl>
  <w:p w14:paraId="3FA057DE" w14:textId="77777777" w:rsidR="002575C6" w:rsidRDefault="002575C6">
    <w:pPr>
      <w:autoSpaceDE w:val="0"/>
      <w:autoSpaceDN w:val="0"/>
      <w:adjustRightInd w:val="0"/>
      <w:spacing w:after="0" w:line="240" w:lineRule="atLeast"/>
      <w:rPr>
        <w:rFonts w:ascii="Times New Roman" w:hAnsi="Times New Roman"/>
        <w:kern w:val="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087F"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D1CDA85"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31389F7E"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644B76D1"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11</w:t>
          </w:r>
        </w:p>
      </w:tc>
      <w:tc>
        <w:tcPr>
          <w:tcW w:w="2710" w:type="dxa"/>
          <w:tcBorders>
            <w:top w:val="nil"/>
            <w:left w:val="nil"/>
            <w:bottom w:val="nil"/>
            <w:right w:val="nil"/>
          </w:tcBorders>
          <w:shd w:val="clear" w:color="auto" w:fill="FFFFFF"/>
          <w:vAlign w:val="bottom"/>
        </w:tcPr>
        <w:p w14:paraId="3E1A2C28" w14:textId="77777777" w:rsidR="002575C6" w:rsidRDefault="002575C6">
          <w:pPr>
            <w:autoSpaceDE w:val="0"/>
            <w:autoSpaceDN w:val="0"/>
            <w:adjustRightInd w:val="0"/>
            <w:spacing w:after="0" w:line="240" w:lineRule="auto"/>
            <w:rPr>
              <w:rFonts w:ascii="Times New Roman" w:hAnsi="Times New Roman"/>
              <w:kern w:val="0"/>
            </w:rPr>
          </w:pPr>
        </w:p>
      </w:tc>
    </w:tr>
  </w:tbl>
  <w:p w14:paraId="26F7C795" w14:textId="77777777" w:rsidR="002575C6" w:rsidRDefault="002575C6">
    <w:pPr>
      <w:autoSpaceDE w:val="0"/>
      <w:autoSpaceDN w:val="0"/>
      <w:adjustRightInd w:val="0"/>
      <w:spacing w:after="0" w:line="240" w:lineRule="atLeast"/>
      <w:rPr>
        <w:rFonts w:ascii="Times New Roman" w:hAnsi="Times New Roman"/>
        <w:kern w:val="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4A16"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445C4DE5"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3134E584"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5555C348"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12</w:t>
          </w:r>
        </w:p>
      </w:tc>
      <w:tc>
        <w:tcPr>
          <w:tcW w:w="2710" w:type="dxa"/>
          <w:tcBorders>
            <w:top w:val="nil"/>
            <w:left w:val="nil"/>
            <w:bottom w:val="nil"/>
            <w:right w:val="nil"/>
          </w:tcBorders>
          <w:shd w:val="clear" w:color="auto" w:fill="FFFFFF"/>
          <w:vAlign w:val="bottom"/>
        </w:tcPr>
        <w:p w14:paraId="56318230" w14:textId="77777777" w:rsidR="002575C6" w:rsidRDefault="002575C6">
          <w:pPr>
            <w:autoSpaceDE w:val="0"/>
            <w:autoSpaceDN w:val="0"/>
            <w:adjustRightInd w:val="0"/>
            <w:spacing w:after="0" w:line="240" w:lineRule="auto"/>
            <w:rPr>
              <w:rFonts w:ascii="Times New Roman" w:hAnsi="Times New Roman"/>
              <w:kern w:val="0"/>
            </w:rPr>
          </w:pPr>
        </w:p>
      </w:tc>
    </w:tr>
  </w:tbl>
  <w:p w14:paraId="24251798" w14:textId="77777777" w:rsidR="002575C6" w:rsidRDefault="002575C6">
    <w:pPr>
      <w:autoSpaceDE w:val="0"/>
      <w:autoSpaceDN w:val="0"/>
      <w:adjustRightInd w:val="0"/>
      <w:spacing w:after="0" w:line="240" w:lineRule="atLeast"/>
      <w:rPr>
        <w:rFonts w:ascii="Times New Roman" w:hAnsi="Times New Roman"/>
        <w:kern w:val="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154E"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29705342"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7E292E18"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0CDA49FB"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13</w:t>
          </w:r>
        </w:p>
      </w:tc>
      <w:tc>
        <w:tcPr>
          <w:tcW w:w="2710" w:type="dxa"/>
          <w:tcBorders>
            <w:top w:val="nil"/>
            <w:left w:val="nil"/>
            <w:bottom w:val="nil"/>
            <w:right w:val="nil"/>
          </w:tcBorders>
          <w:shd w:val="clear" w:color="auto" w:fill="FFFFFF"/>
          <w:vAlign w:val="bottom"/>
        </w:tcPr>
        <w:p w14:paraId="2D54CE05" w14:textId="77777777" w:rsidR="002575C6" w:rsidRDefault="002575C6">
          <w:pPr>
            <w:autoSpaceDE w:val="0"/>
            <w:autoSpaceDN w:val="0"/>
            <w:adjustRightInd w:val="0"/>
            <w:spacing w:after="0" w:line="240" w:lineRule="auto"/>
            <w:rPr>
              <w:rFonts w:ascii="Times New Roman" w:hAnsi="Times New Roman"/>
              <w:kern w:val="0"/>
            </w:rPr>
          </w:pPr>
        </w:p>
      </w:tc>
    </w:tr>
  </w:tbl>
  <w:p w14:paraId="5536E2B7" w14:textId="77777777" w:rsidR="002575C6" w:rsidRDefault="002575C6">
    <w:pPr>
      <w:autoSpaceDE w:val="0"/>
      <w:autoSpaceDN w:val="0"/>
      <w:adjustRightInd w:val="0"/>
      <w:spacing w:after="0" w:line="240" w:lineRule="atLeast"/>
      <w:rPr>
        <w:rFonts w:ascii="Times New Roman" w:hAnsi="Times New Roman"/>
        <w:kern w:val="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ED09"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11DBA4A2"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6AED3601"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93DA600"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14</w:t>
          </w:r>
        </w:p>
      </w:tc>
      <w:tc>
        <w:tcPr>
          <w:tcW w:w="2710" w:type="dxa"/>
          <w:tcBorders>
            <w:top w:val="nil"/>
            <w:left w:val="nil"/>
            <w:bottom w:val="nil"/>
            <w:right w:val="nil"/>
          </w:tcBorders>
          <w:shd w:val="clear" w:color="auto" w:fill="FFFFFF"/>
          <w:vAlign w:val="bottom"/>
        </w:tcPr>
        <w:p w14:paraId="3D160C1E" w14:textId="77777777" w:rsidR="002575C6" w:rsidRDefault="002575C6">
          <w:pPr>
            <w:autoSpaceDE w:val="0"/>
            <w:autoSpaceDN w:val="0"/>
            <w:adjustRightInd w:val="0"/>
            <w:spacing w:after="0" w:line="240" w:lineRule="auto"/>
            <w:rPr>
              <w:rFonts w:ascii="Times New Roman" w:hAnsi="Times New Roman"/>
              <w:kern w:val="0"/>
            </w:rPr>
          </w:pPr>
        </w:p>
      </w:tc>
    </w:tr>
  </w:tbl>
  <w:p w14:paraId="32478423" w14:textId="77777777" w:rsidR="002575C6" w:rsidRDefault="002575C6">
    <w:pPr>
      <w:autoSpaceDE w:val="0"/>
      <w:autoSpaceDN w:val="0"/>
      <w:adjustRightInd w:val="0"/>
      <w:spacing w:after="0" w:line="240" w:lineRule="atLeast"/>
      <w:rPr>
        <w:rFonts w:ascii="Times New Roman" w:hAnsi="Times New Roman"/>
        <w:kern w:val="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0FB2"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3A5E69A5"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377607BE"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4613C2F7"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15</w:t>
          </w:r>
        </w:p>
      </w:tc>
      <w:tc>
        <w:tcPr>
          <w:tcW w:w="2710" w:type="dxa"/>
          <w:tcBorders>
            <w:top w:val="nil"/>
            <w:left w:val="nil"/>
            <w:bottom w:val="nil"/>
            <w:right w:val="nil"/>
          </w:tcBorders>
          <w:shd w:val="clear" w:color="auto" w:fill="FFFFFF"/>
          <w:vAlign w:val="bottom"/>
        </w:tcPr>
        <w:p w14:paraId="7F2B4762" w14:textId="77777777" w:rsidR="002575C6" w:rsidRDefault="002575C6">
          <w:pPr>
            <w:autoSpaceDE w:val="0"/>
            <w:autoSpaceDN w:val="0"/>
            <w:adjustRightInd w:val="0"/>
            <w:spacing w:after="0" w:line="240" w:lineRule="auto"/>
            <w:rPr>
              <w:rFonts w:ascii="Times New Roman" w:hAnsi="Times New Roman"/>
              <w:kern w:val="0"/>
            </w:rPr>
          </w:pPr>
        </w:p>
      </w:tc>
    </w:tr>
  </w:tbl>
  <w:p w14:paraId="5307C046" w14:textId="77777777" w:rsidR="002575C6" w:rsidRDefault="002575C6">
    <w:pPr>
      <w:autoSpaceDE w:val="0"/>
      <w:autoSpaceDN w:val="0"/>
      <w:adjustRightInd w:val="0"/>
      <w:spacing w:after="0" w:line="240" w:lineRule="atLeast"/>
      <w:rPr>
        <w:rFonts w:ascii="Times New Roman" w:hAnsi="Times New Roman"/>
        <w:kern w:val="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A6F9"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505F36E"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74576BDB"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58D1A2C0"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16</w:t>
          </w:r>
        </w:p>
      </w:tc>
      <w:tc>
        <w:tcPr>
          <w:tcW w:w="2710" w:type="dxa"/>
          <w:tcBorders>
            <w:top w:val="nil"/>
            <w:left w:val="nil"/>
            <w:bottom w:val="nil"/>
            <w:right w:val="nil"/>
          </w:tcBorders>
          <w:shd w:val="clear" w:color="auto" w:fill="FFFFFF"/>
          <w:vAlign w:val="bottom"/>
        </w:tcPr>
        <w:p w14:paraId="7D5D72B1" w14:textId="77777777" w:rsidR="002575C6" w:rsidRDefault="002575C6">
          <w:pPr>
            <w:autoSpaceDE w:val="0"/>
            <w:autoSpaceDN w:val="0"/>
            <w:adjustRightInd w:val="0"/>
            <w:spacing w:after="0" w:line="240" w:lineRule="auto"/>
            <w:rPr>
              <w:rFonts w:ascii="Times New Roman" w:hAnsi="Times New Roman"/>
              <w:kern w:val="0"/>
            </w:rPr>
          </w:pPr>
        </w:p>
      </w:tc>
    </w:tr>
  </w:tbl>
  <w:p w14:paraId="505871A4" w14:textId="77777777" w:rsidR="002575C6" w:rsidRDefault="002575C6">
    <w:pPr>
      <w:autoSpaceDE w:val="0"/>
      <w:autoSpaceDN w:val="0"/>
      <w:adjustRightInd w:val="0"/>
      <w:spacing w:after="0" w:line="240" w:lineRule="atLeast"/>
      <w:rPr>
        <w:rFonts w:ascii="Times New Roman" w:hAnsi="Times New Roman"/>
        <w:kern w:val="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C1CF"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AFDDF80"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0FAAFEE4"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E011864"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17</w:t>
          </w:r>
        </w:p>
      </w:tc>
      <w:tc>
        <w:tcPr>
          <w:tcW w:w="2710" w:type="dxa"/>
          <w:tcBorders>
            <w:top w:val="nil"/>
            <w:left w:val="nil"/>
            <w:bottom w:val="nil"/>
            <w:right w:val="nil"/>
          </w:tcBorders>
          <w:shd w:val="clear" w:color="auto" w:fill="FFFFFF"/>
          <w:vAlign w:val="bottom"/>
        </w:tcPr>
        <w:p w14:paraId="7B118A91" w14:textId="77777777" w:rsidR="002575C6" w:rsidRDefault="002575C6">
          <w:pPr>
            <w:autoSpaceDE w:val="0"/>
            <w:autoSpaceDN w:val="0"/>
            <w:adjustRightInd w:val="0"/>
            <w:spacing w:after="0" w:line="240" w:lineRule="auto"/>
            <w:rPr>
              <w:rFonts w:ascii="Times New Roman" w:hAnsi="Times New Roman"/>
              <w:kern w:val="0"/>
            </w:rPr>
          </w:pPr>
        </w:p>
      </w:tc>
    </w:tr>
  </w:tbl>
  <w:p w14:paraId="28741109" w14:textId="77777777" w:rsidR="002575C6" w:rsidRDefault="002575C6">
    <w:pPr>
      <w:autoSpaceDE w:val="0"/>
      <w:autoSpaceDN w:val="0"/>
      <w:adjustRightInd w:val="0"/>
      <w:spacing w:after="0" w:line="240" w:lineRule="atLeast"/>
      <w:rPr>
        <w:rFonts w:ascii="Times New Roman" w:hAnsi="Times New Roman"/>
        <w:kern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C140" w14:textId="77777777" w:rsidR="002575C6" w:rsidRDefault="002575C6">
    <w:pPr>
      <w:autoSpaceDE w:val="0"/>
      <w:autoSpaceDN w:val="0"/>
      <w:adjustRightInd w:val="0"/>
      <w:spacing w:after="0" w:line="240" w:lineRule="auto"/>
      <w:rPr>
        <w:rFonts w:ascii="Times New Roman" w:hAnsi="Times New Roman"/>
        <w:kern w:val="0"/>
      </w:rPr>
    </w:pPr>
  </w:p>
  <w:p w14:paraId="64D56972" w14:textId="77777777" w:rsidR="002575C6" w:rsidRDefault="002575C6">
    <w:pPr>
      <w:autoSpaceDE w:val="0"/>
      <w:autoSpaceDN w:val="0"/>
      <w:adjustRightInd w:val="0"/>
      <w:spacing w:after="0" w:line="240" w:lineRule="auto"/>
      <w:rPr>
        <w:rFonts w:ascii="Times New Roman" w:hAnsi="Times New Roman"/>
        <w:kern w:val="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FEBF"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73212262"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1EF0A59A"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110DD1FA"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18</w:t>
          </w:r>
        </w:p>
      </w:tc>
      <w:tc>
        <w:tcPr>
          <w:tcW w:w="2710" w:type="dxa"/>
          <w:tcBorders>
            <w:top w:val="nil"/>
            <w:left w:val="nil"/>
            <w:bottom w:val="nil"/>
            <w:right w:val="nil"/>
          </w:tcBorders>
          <w:shd w:val="clear" w:color="auto" w:fill="FFFFFF"/>
          <w:vAlign w:val="bottom"/>
        </w:tcPr>
        <w:p w14:paraId="5A3D0CCE" w14:textId="77777777" w:rsidR="002575C6" w:rsidRDefault="002575C6">
          <w:pPr>
            <w:autoSpaceDE w:val="0"/>
            <w:autoSpaceDN w:val="0"/>
            <w:adjustRightInd w:val="0"/>
            <w:spacing w:after="0" w:line="240" w:lineRule="auto"/>
            <w:rPr>
              <w:rFonts w:ascii="Times New Roman" w:hAnsi="Times New Roman"/>
              <w:kern w:val="0"/>
            </w:rPr>
          </w:pPr>
        </w:p>
      </w:tc>
    </w:tr>
  </w:tbl>
  <w:p w14:paraId="59310ADA" w14:textId="77777777" w:rsidR="002575C6" w:rsidRDefault="002575C6">
    <w:pPr>
      <w:autoSpaceDE w:val="0"/>
      <w:autoSpaceDN w:val="0"/>
      <w:adjustRightInd w:val="0"/>
      <w:spacing w:after="0" w:line="240" w:lineRule="atLeast"/>
      <w:rPr>
        <w:rFonts w:ascii="Times New Roman" w:hAnsi="Times New Roman"/>
        <w:kern w:val="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FFF4"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B698C78"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3D08295A"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7D274951"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19</w:t>
          </w:r>
        </w:p>
      </w:tc>
      <w:tc>
        <w:tcPr>
          <w:tcW w:w="2710" w:type="dxa"/>
          <w:tcBorders>
            <w:top w:val="nil"/>
            <w:left w:val="nil"/>
            <w:bottom w:val="nil"/>
            <w:right w:val="nil"/>
          </w:tcBorders>
          <w:shd w:val="clear" w:color="auto" w:fill="FFFFFF"/>
          <w:vAlign w:val="bottom"/>
        </w:tcPr>
        <w:p w14:paraId="6734B0A5" w14:textId="77777777" w:rsidR="002575C6" w:rsidRDefault="002575C6">
          <w:pPr>
            <w:autoSpaceDE w:val="0"/>
            <w:autoSpaceDN w:val="0"/>
            <w:adjustRightInd w:val="0"/>
            <w:spacing w:after="0" w:line="240" w:lineRule="auto"/>
            <w:rPr>
              <w:rFonts w:ascii="Times New Roman" w:hAnsi="Times New Roman"/>
              <w:kern w:val="0"/>
            </w:rPr>
          </w:pPr>
        </w:p>
      </w:tc>
    </w:tr>
  </w:tbl>
  <w:p w14:paraId="4B3ED253" w14:textId="77777777" w:rsidR="002575C6" w:rsidRDefault="002575C6">
    <w:pPr>
      <w:autoSpaceDE w:val="0"/>
      <w:autoSpaceDN w:val="0"/>
      <w:adjustRightInd w:val="0"/>
      <w:spacing w:after="0" w:line="240" w:lineRule="atLeast"/>
      <w:rPr>
        <w:rFonts w:ascii="Times New Roman" w:hAnsi="Times New Roman"/>
        <w:kern w:val="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25C4"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392995C8"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3FECC790"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79B0C6B6"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20</w:t>
          </w:r>
        </w:p>
      </w:tc>
      <w:tc>
        <w:tcPr>
          <w:tcW w:w="2710" w:type="dxa"/>
          <w:tcBorders>
            <w:top w:val="nil"/>
            <w:left w:val="nil"/>
            <w:bottom w:val="nil"/>
            <w:right w:val="nil"/>
          </w:tcBorders>
          <w:shd w:val="clear" w:color="auto" w:fill="FFFFFF"/>
          <w:vAlign w:val="bottom"/>
        </w:tcPr>
        <w:p w14:paraId="0DC4276F" w14:textId="77777777" w:rsidR="002575C6" w:rsidRDefault="002575C6">
          <w:pPr>
            <w:autoSpaceDE w:val="0"/>
            <w:autoSpaceDN w:val="0"/>
            <w:adjustRightInd w:val="0"/>
            <w:spacing w:after="0" w:line="240" w:lineRule="auto"/>
            <w:rPr>
              <w:rFonts w:ascii="Times New Roman" w:hAnsi="Times New Roman"/>
              <w:kern w:val="0"/>
            </w:rPr>
          </w:pPr>
        </w:p>
      </w:tc>
    </w:tr>
  </w:tbl>
  <w:p w14:paraId="0B63E5F0" w14:textId="77777777" w:rsidR="002575C6" w:rsidRDefault="002575C6">
    <w:pPr>
      <w:autoSpaceDE w:val="0"/>
      <w:autoSpaceDN w:val="0"/>
      <w:adjustRightInd w:val="0"/>
      <w:spacing w:after="0" w:line="240" w:lineRule="atLeast"/>
      <w:rPr>
        <w:rFonts w:ascii="Times New Roman" w:hAnsi="Times New Roman"/>
        <w:kern w:val="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A061"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2DC1E36F"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76148060"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0B8DEC99"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21</w:t>
          </w:r>
        </w:p>
      </w:tc>
      <w:tc>
        <w:tcPr>
          <w:tcW w:w="2710" w:type="dxa"/>
          <w:tcBorders>
            <w:top w:val="nil"/>
            <w:left w:val="nil"/>
            <w:bottom w:val="nil"/>
            <w:right w:val="nil"/>
          </w:tcBorders>
          <w:shd w:val="clear" w:color="auto" w:fill="FFFFFF"/>
          <w:vAlign w:val="bottom"/>
        </w:tcPr>
        <w:p w14:paraId="5EBA57A9" w14:textId="77777777" w:rsidR="002575C6" w:rsidRDefault="002575C6">
          <w:pPr>
            <w:autoSpaceDE w:val="0"/>
            <w:autoSpaceDN w:val="0"/>
            <w:adjustRightInd w:val="0"/>
            <w:spacing w:after="0" w:line="240" w:lineRule="auto"/>
            <w:rPr>
              <w:rFonts w:ascii="Times New Roman" w:hAnsi="Times New Roman"/>
              <w:kern w:val="0"/>
            </w:rPr>
          </w:pPr>
        </w:p>
      </w:tc>
    </w:tr>
  </w:tbl>
  <w:p w14:paraId="023EE887" w14:textId="77777777" w:rsidR="002575C6" w:rsidRDefault="002575C6">
    <w:pPr>
      <w:autoSpaceDE w:val="0"/>
      <w:autoSpaceDN w:val="0"/>
      <w:adjustRightInd w:val="0"/>
      <w:spacing w:after="0" w:line="240" w:lineRule="atLeast"/>
      <w:rPr>
        <w:rFonts w:ascii="Times New Roman" w:hAnsi="Times New Roman"/>
        <w:kern w:val="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BE61"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55E7FAB"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1EAA65A2"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0A09BBE4"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22</w:t>
          </w:r>
        </w:p>
      </w:tc>
      <w:tc>
        <w:tcPr>
          <w:tcW w:w="2710" w:type="dxa"/>
          <w:tcBorders>
            <w:top w:val="nil"/>
            <w:left w:val="nil"/>
            <w:bottom w:val="nil"/>
            <w:right w:val="nil"/>
          </w:tcBorders>
          <w:shd w:val="clear" w:color="auto" w:fill="FFFFFF"/>
          <w:vAlign w:val="bottom"/>
        </w:tcPr>
        <w:p w14:paraId="3279CA9C" w14:textId="77777777" w:rsidR="002575C6" w:rsidRDefault="002575C6">
          <w:pPr>
            <w:autoSpaceDE w:val="0"/>
            <w:autoSpaceDN w:val="0"/>
            <w:adjustRightInd w:val="0"/>
            <w:spacing w:after="0" w:line="240" w:lineRule="auto"/>
            <w:rPr>
              <w:rFonts w:ascii="Times New Roman" w:hAnsi="Times New Roman"/>
              <w:kern w:val="0"/>
            </w:rPr>
          </w:pPr>
        </w:p>
      </w:tc>
    </w:tr>
  </w:tbl>
  <w:p w14:paraId="1554710E" w14:textId="77777777" w:rsidR="002575C6" w:rsidRDefault="002575C6">
    <w:pPr>
      <w:autoSpaceDE w:val="0"/>
      <w:autoSpaceDN w:val="0"/>
      <w:adjustRightInd w:val="0"/>
      <w:spacing w:after="0" w:line="240" w:lineRule="atLeast"/>
      <w:rPr>
        <w:rFonts w:ascii="Times New Roman" w:hAnsi="Times New Roman"/>
        <w:kern w:val="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0419" w14:textId="77777777" w:rsidR="002575C6" w:rsidRDefault="002575C6">
    <w:pPr>
      <w:autoSpaceDE w:val="0"/>
      <w:autoSpaceDN w:val="0"/>
      <w:adjustRightInd w:val="0"/>
      <w:spacing w:after="0" w:line="240" w:lineRule="auto"/>
      <w:rPr>
        <w:rFonts w:ascii="Times New Roman" w:hAnsi="Times New Roman"/>
        <w:kern w:val="0"/>
      </w:rPr>
    </w:pPr>
  </w:p>
  <w:p w14:paraId="3586E596"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kern w:val="0"/>
        <w:sz w:val="20"/>
        <w:szCs w:val="20"/>
      </w:rPr>
      <w:t>The notes on pages 25 to 38 form an integral part of these financial statements.</w:t>
    </w: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456F22A6"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13226F4E"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B14C593"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23</w:t>
          </w:r>
        </w:p>
      </w:tc>
      <w:tc>
        <w:tcPr>
          <w:tcW w:w="2710" w:type="dxa"/>
          <w:tcBorders>
            <w:top w:val="nil"/>
            <w:left w:val="nil"/>
            <w:bottom w:val="nil"/>
            <w:right w:val="nil"/>
          </w:tcBorders>
          <w:shd w:val="clear" w:color="auto" w:fill="FFFFFF"/>
          <w:vAlign w:val="bottom"/>
        </w:tcPr>
        <w:p w14:paraId="56EC61C2" w14:textId="77777777" w:rsidR="002575C6" w:rsidRDefault="002575C6">
          <w:pPr>
            <w:autoSpaceDE w:val="0"/>
            <w:autoSpaceDN w:val="0"/>
            <w:adjustRightInd w:val="0"/>
            <w:spacing w:after="0" w:line="240" w:lineRule="auto"/>
            <w:rPr>
              <w:rFonts w:ascii="Times New Roman" w:hAnsi="Times New Roman"/>
              <w:kern w:val="0"/>
            </w:rPr>
          </w:pPr>
        </w:p>
      </w:tc>
    </w:tr>
  </w:tbl>
  <w:p w14:paraId="5391059B" w14:textId="77777777" w:rsidR="002575C6" w:rsidRDefault="002575C6">
    <w:pPr>
      <w:autoSpaceDE w:val="0"/>
      <w:autoSpaceDN w:val="0"/>
      <w:adjustRightInd w:val="0"/>
      <w:spacing w:after="0" w:line="240" w:lineRule="atLeast"/>
      <w:rPr>
        <w:rFonts w:ascii="Times New Roman" w:hAnsi="Times New Roman"/>
        <w:kern w:val="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7023" w14:textId="77777777" w:rsidR="002575C6" w:rsidRDefault="002575C6">
    <w:pPr>
      <w:autoSpaceDE w:val="0"/>
      <w:autoSpaceDN w:val="0"/>
      <w:adjustRightInd w:val="0"/>
      <w:spacing w:after="0" w:line="240" w:lineRule="auto"/>
      <w:rPr>
        <w:rFonts w:ascii="Times New Roman" w:hAnsi="Times New Roman"/>
        <w:kern w:val="0"/>
      </w:rPr>
    </w:pPr>
  </w:p>
  <w:p w14:paraId="2669C110"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kern w:val="0"/>
        <w:sz w:val="20"/>
        <w:szCs w:val="20"/>
      </w:rPr>
      <w:t>The notes on pages 25 to 38 form an integral part of these financial statements.</w:t>
    </w: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1E4E0BBB"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42204E31"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6C647D4C"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24</w:t>
          </w:r>
        </w:p>
      </w:tc>
      <w:tc>
        <w:tcPr>
          <w:tcW w:w="2710" w:type="dxa"/>
          <w:tcBorders>
            <w:top w:val="nil"/>
            <w:left w:val="nil"/>
            <w:bottom w:val="nil"/>
            <w:right w:val="nil"/>
          </w:tcBorders>
          <w:shd w:val="clear" w:color="auto" w:fill="FFFFFF"/>
          <w:vAlign w:val="bottom"/>
        </w:tcPr>
        <w:p w14:paraId="6627C218" w14:textId="77777777" w:rsidR="002575C6" w:rsidRDefault="002575C6">
          <w:pPr>
            <w:autoSpaceDE w:val="0"/>
            <w:autoSpaceDN w:val="0"/>
            <w:adjustRightInd w:val="0"/>
            <w:spacing w:after="0" w:line="240" w:lineRule="auto"/>
            <w:rPr>
              <w:rFonts w:ascii="Times New Roman" w:hAnsi="Times New Roman"/>
              <w:kern w:val="0"/>
            </w:rPr>
          </w:pPr>
        </w:p>
      </w:tc>
    </w:tr>
  </w:tbl>
  <w:p w14:paraId="3324C5D3" w14:textId="77777777" w:rsidR="002575C6" w:rsidRDefault="002575C6">
    <w:pPr>
      <w:autoSpaceDE w:val="0"/>
      <w:autoSpaceDN w:val="0"/>
      <w:adjustRightInd w:val="0"/>
      <w:spacing w:after="0" w:line="240" w:lineRule="atLeast"/>
      <w:rPr>
        <w:rFonts w:ascii="Times New Roman" w:hAnsi="Times New Roman"/>
        <w:kern w:val="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E6BE"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A4DB627"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3EDDF1F2"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6397B278"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25</w:t>
          </w:r>
        </w:p>
      </w:tc>
      <w:tc>
        <w:tcPr>
          <w:tcW w:w="2710" w:type="dxa"/>
          <w:tcBorders>
            <w:top w:val="nil"/>
            <w:left w:val="nil"/>
            <w:bottom w:val="nil"/>
            <w:right w:val="nil"/>
          </w:tcBorders>
          <w:shd w:val="clear" w:color="auto" w:fill="FFFFFF"/>
          <w:vAlign w:val="bottom"/>
        </w:tcPr>
        <w:p w14:paraId="4DA69277" w14:textId="77777777" w:rsidR="002575C6" w:rsidRDefault="002575C6">
          <w:pPr>
            <w:autoSpaceDE w:val="0"/>
            <w:autoSpaceDN w:val="0"/>
            <w:adjustRightInd w:val="0"/>
            <w:spacing w:after="0" w:line="240" w:lineRule="auto"/>
            <w:rPr>
              <w:rFonts w:ascii="Times New Roman" w:hAnsi="Times New Roman"/>
              <w:kern w:val="0"/>
            </w:rPr>
          </w:pPr>
        </w:p>
      </w:tc>
    </w:tr>
  </w:tbl>
  <w:p w14:paraId="62519E41" w14:textId="77777777" w:rsidR="002575C6" w:rsidRDefault="002575C6">
    <w:pPr>
      <w:autoSpaceDE w:val="0"/>
      <w:autoSpaceDN w:val="0"/>
      <w:adjustRightInd w:val="0"/>
      <w:spacing w:after="0" w:line="240" w:lineRule="atLeast"/>
      <w:rPr>
        <w:rFonts w:ascii="Times New Roman" w:hAnsi="Times New Roman"/>
        <w:kern w:val="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B10C"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2D55E216"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27FDD514"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4FE43130"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26</w:t>
          </w:r>
        </w:p>
      </w:tc>
      <w:tc>
        <w:tcPr>
          <w:tcW w:w="2710" w:type="dxa"/>
          <w:tcBorders>
            <w:top w:val="nil"/>
            <w:left w:val="nil"/>
            <w:bottom w:val="nil"/>
            <w:right w:val="nil"/>
          </w:tcBorders>
          <w:shd w:val="clear" w:color="auto" w:fill="FFFFFF"/>
          <w:vAlign w:val="bottom"/>
        </w:tcPr>
        <w:p w14:paraId="003FDEE0" w14:textId="77777777" w:rsidR="002575C6" w:rsidRDefault="002575C6">
          <w:pPr>
            <w:autoSpaceDE w:val="0"/>
            <w:autoSpaceDN w:val="0"/>
            <w:adjustRightInd w:val="0"/>
            <w:spacing w:after="0" w:line="240" w:lineRule="auto"/>
            <w:rPr>
              <w:rFonts w:ascii="Times New Roman" w:hAnsi="Times New Roman"/>
              <w:kern w:val="0"/>
            </w:rPr>
          </w:pPr>
        </w:p>
      </w:tc>
    </w:tr>
  </w:tbl>
  <w:p w14:paraId="52CF2E00" w14:textId="77777777" w:rsidR="002575C6" w:rsidRDefault="002575C6">
    <w:pPr>
      <w:autoSpaceDE w:val="0"/>
      <w:autoSpaceDN w:val="0"/>
      <w:adjustRightInd w:val="0"/>
      <w:spacing w:after="0" w:line="240" w:lineRule="atLeast"/>
      <w:rPr>
        <w:rFonts w:ascii="Times New Roman" w:hAnsi="Times New Roman"/>
        <w:kern w:val="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614E"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E4A2D86"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1A83BD96"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4B0CEB93"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27</w:t>
          </w:r>
        </w:p>
      </w:tc>
      <w:tc>
        <w:tcPr>
          <w:tcW w:w="2710" w:type="dxa"/>
          <w:tcBorders>
            <w:top w:val="nil"/>
            <w:left w:val="nil"/>
            <w:bottom w:val="nil"/>
            <w:right w:val="nil"/>
          </w:tcBorders>
          <w:shd w:val="clear" w:color="auto" w:fill="FFFFFF"/>
          <w:vAlign w:val="bottom"/>
        </w:tcPr>
        <w:p w14:paraId="49B63633" w14:textId="77777777" w:rsidR="002575C6" w:rsidRDefault="002575C6">
          <w:pPr>
            <w:autoSpaceDE w:val="0"/>
            <w:autoSpaceDN w:val="0"/>
            <w:adjustRightInd w:val="0"/>
            <w:spacing w:after="0" w:line="240" w:lineRule="auto"/>
            <w:rPr>
              <w:rFonts w:ascii="Times New Roman" w:hAnsi="Times New Roman"/>
              <w:kern w:val="0"/>
            </w:rPr>
          </w:pPr>
        </w:p>
      </w:tc>
    </w:tr>
  </w:tbl>
  <w:p w14:paraId="2EC15635" w14:textId="77777777" w:rsidR="002575C6" w:rsidRDefault="002575C6">
    <w:pPr>
      <w:autoSpaceDE w:val="0"/>
      <w:autoSpaceDN w:val="0"/>
      <w:adjustRightInd w:val="0"/>
      <w:spacing w:after="0" w:line="240" w:lineRule="atLeast"/>
      <w:rPr>
        <w:rFonts w:ascii="Times New Roman" w:hAnsi="Times New Roman"/>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D365"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1B6F6DB"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098AC6E6"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BFD2D1D"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w:t>
          </w:r>
        </w:p>
      </w:tc>
      <w:tc>
        <w:tcPr>
          <w:tcW w:w="2710" w:type="dxa"/>
          <w:tcBorders>
            <w:top w:val="nil"/>
            <w:left w:val="nil"/>
            <w:bottom w:val="nil"/>
            <w:right w:val="nil"/>
          </w:tcBorders>
          <w:shd w:val="clear" w:color="auto" w:fill="FFFFFF"/>
          <w:vAlign w:val="bottom"/>
        </w:tcPr>
        <w:p w14:paraId="2AB876EC" w14:textId="77777777" w:rsidR="002575C6" w:rsidRDefault="002575C6">
          <w:pPr>
            <w:autoSpaceDE w:val="0"/>
            <w:autoSpaceDN w:val="0"/>
            <w:adjustRightInd w:val="0"/>
            <w:spacing w:after="0" w:line="240" w:lineRule="auto"/>
            <w:rPr>
              <w:rFonts w:ascii="Times New Roman" w:hAnsi="Times New Roman"/>
              <w:kern w:val="0"/>
            </w:rPr>
          </w:pPr>
        </w:p>
      </w:tc>
    </w:tr>
  </w:tbl>
  <w:p w14:paraId="6328EF19" w14:textId="77777777" w:rsidR="002575C6" w:rsidRDefault="002575C6">
    <w:pPr>
      <w:autoSpaceDE w:val="0"/>
      <w:autoSpaceDN w:val="0"/>
      <w:adjustRightInd w:val="0"/>
      <w:spacing w:after="0" w:line="240" w:lineRule="atLeast"/>
      <w:rPr>
        <w:rFonts w:ascii="Times New Roman" w:hAnsi="Times New Roman"/>
        <w:kern w:val="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D7BE"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F317569"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63265AD4"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517769CE"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28</w:t>
          </w:r>
        </w:p>
      </w:tc>
      <w:tc>
        <w:tcPr>
          <w:tcW w:w="2710" w:type="dxa"/>
          <w:tcBorders>
            <w:top w:val="nil"/>
            <w:left w:val="nil"/>
            <w:bottom w:val="nil"/>
            <w:right w:val="nil"/>
          </w:tcBorders>
          <w:shd w:val="clear" w:color="auto" w:fill="FFFFFF"/>
          <w:vAlign w:val="bottom"/>
        </w:tcPr>
        <w:p w14:paraId="6D22E82A" w14:textId="77777777" w:rsidR="002575C6" w:rsidRDefault="002575C6">
          <w:pPr>
            <w:autoSpaceDE w:val="0"/>
            <w:autoSpaceDN w:val="0"/>
            <w:adjustRightInd w:val="0"/>
            <w:spacing w:after="0" w:line="240" w:lineRule="auto"/>
            <w:rPr>
              <w:rFonts w:ascii="Times New Roman" w:hAnsi="Times New Roman"/>
              <w:kern w:val="0"/>
            </w:rPr>
          </w:pPr>
        </w:p>
      </w:tc>
    </w:tr>
  </w:tbl>
  <w:p w14:paraId="57723B8C" w14:textId="77777777" w:rsidR="002575C6" w:rsidRDefault="002575C6">
    <w:pPr>
      <w:autoSpaceDE w:val="0"/>
      <w:autoSpaceDN w:val="0"/>
      <w:adjustRightInd w:val="0"/>
      <w:spacing w:after="0" w:line="240" w:lineRule="atLeast"/>
      <w:rPr>
        <w:rFonts w:ascii="Times New Roman" w:hAnsi="Times New Roman"/>
        <w:kern w:val="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5F40"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133DD14A"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26CFDB5D"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0F1F52B6"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29</w:t>
          </w:r>
        </w:p>
      </w:tc>
      <w:tc>
        <w:tcPr>
          <w:tcW w:w="2710" w:type="dxa"/>
          <w:tcBorders>
            <w:top w:val="nil"/>
            <w:left w:val="nil"/>
            <w:bottom w:val="nil"/>
            <w:right w:val="nil"/>
          </w:tcBorders>
          <w:shd w:val="clear" w:color="auto" w:fill="FFFFFF"/>
          <w:vAlign w:val="bottom"/>
        </w:tcPr>
        <w:p w14:paraId="3FB4B984" w14:textId="77777777" w:rsidR="002575C6" w:rsidRDefault="002575C6">
          <w:pPr>
            <w:autoSpaceDE w:val="0"/>
            <w:autoSpaceDN w:val="0"/>
            <w:adjustRightInd w:val="0"/>
            <w:spacing w:after="0" w:line="240" w:lineRule="auto"/>
            <w:rPr>
              <w:rFonts w:ascii="Times New Roman" w:hAnsi="Times New Roman"/>
              <w:kern w:val="0"/>
            </w:rPr>
          </w:pPr>
        </w:p>
      </w:tc>
    </w:tr>
  </w:tbl>
  <w:p w14:paraId="4592B4E3" w14:textId="77777777" w:rsidR="002575C6" w:rsidRDefault="002575C6">
    <w:pPr>
      <w:autoSpaceDE w:val="0"/>
      <w:autoSpaceDN w:val="0"/>
      <w:adjustRightInd w:val="0"/>
      <w:spacing w:after="0" w:line="240" w:lineRule="atLeast"/>
      <w:rPr>
        <w:rFonts w:ascii="Times New Roman" w:hAnsi="Times New Roman"/>
        <w:kern w:val="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C9B8"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140EB22"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554859B4"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53A641A1"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30</w:t>
          </w:r>
        </w:p>
      </w:tc>
      <w:tc>
        <w:tcPr>
          <w:tcW w:w="2710" w:type="dxa"/>
          <w:tcBorders>
            <w:top w:val="nil"/>
            <w:left w:val="nil"/>
            <w:bottom w:val="nil"/>
            <w:right w:val="nil"/>
          </w:tcBorders>
          <w:shd w:val="clear" w:color="auto" w:fill="FFFFFF"/>
          <w:vAlign w:val="bottom"/>
        </w:tcPr>
        <w:p w14:paraId="2C30A544" w14:textId="77777777" w:rsidR="002575C6" w:rsidRDefault="002575C6">
          <w:pPr>
            <w:autoSpaceDE w:val="0"/>
            <w:autoSpaceDN w:val="0"/>
            <w:adjustRightInd w:val="0"/>
            <w:spacing w:after="0" w:line="240" w:lineRule="auto"/>
            <w:rPr>
              <w:rFonts w:ascii="Times New Roman" w:hAnsi="Times New Roman"/>
              <w:kern w:val="0"/>
            </w:rPr>
          </w:pPr>
        </w:p>
      </w:tc>
    </w:tr>
  </w:tbl>
  <w:p w14:paraId="1289517E" w14:textId="77777777" w:rsidR="002575C6" w:rsidRDefault="002575C6">
    <w:pPr>
      <w:autoSpaceDE w:val="0"/>
      <w:autoSpaceDN w:val="0"/>
      <w:adjustRightInd w:val="0"/>
      <w:spacing w:after="0" w:line="240" w:lineRule="atLeast"/>
      <w:rPr>
        <w:rFonts w:ascii="Times New Roman" w:hAnsi="Times New Roman"/>
        <w:kern w:val="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20EA"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33FBC6CD"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3EDE5A5E"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733DAC2D"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31</w:t>
          </w:r>
        </w:p>
      </w:tc>
      <w:tc>
        <w:tcPr>
          <w:tcW w:w="2710" w:type="dxa"/>
          <w:tcBorders>
            <w:top w:val="nil"/>
            <w:left w:val="nil"/>
            <w:bottom w:val="nil"/>
            <w:right w:val="nil"/>
          </w:tcBorders>
          <w:shd w:val="clear" w:color="auto" w:fill="FFFFFF"/>
          <w:vAlign w:val="bottom"/>
        </w:tcPr>
        <w:p w14:paraId="200326FF" w14:textId="77777777" w:rsidR="002575C6" w:rsidRDefault="002575C6">
          <w:pPr>
            <w:autoSpaceDE w:val="0"/>
            <w:autoSpaceDN w:val="0"/>
            <w:adjustRightInd w:val="0"/>
            <w:spacing w:after="0" w:line="240" w:lineRule="auto"/>
            <w:rPr>
              <w:rFonts w:ascii="Times New Roman" w:hAnsi="Times New Roman"/>
              <w:kern w:val="0"/>
            </w:rPr>
          </w:pPr>
        </w:p>
      </w:tc>
    </w:tr>
  </w:tbl>
  <w:p w14:paraId="5D0668DC" w14:textId="77777777" w:rsidR="002575C6" w:rsidRDefault="002575C6">
    <w:pPr>
      <w:autoSpaceDE w:val="0"/>
      <w:autoSpaceDN w:val="0"/>
      <w:adjustRightInd w:val="0"/>
      <w:spacing w:after="0" w:line="240" w:lineRule="atLeast"/>
      <w:rPr>
        <w:rFonts w:ascii="Times New Roman" w:hAnsi="Times New Roman"/>
        <w:kern w:val="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E3E9"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76E79FB6"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352E2DB3"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479BED84"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32</w:t>
          </w:r>
        </w:p>
      </w:tc>
      <w:tc>
        <w:tcPr>
          <w:tcW w:w="2710" w:type="dxa"/>
          <w:tcBorders>
            <w:top w:val="nil"/>
            <w:left w:val="nil"/>
            <w:bottom w:val="nil"/>
            <w:right w:val="nil"/>
          </w:tcBorders>
          <w:shd w:val="clear" w:color="auto" w:fill="FFFFFF"/>
          <w:vAlign w:val="bottom"/>
        </w:tcPr>
        <w:p w14:paraId="43F3B15A" w14:textId="77777777" w:rsidR="002575C6" w:rsidRDefault="002575C6">
          <w:pPr>
            <w:autoSpaceDE w:val="0"/>
            <w:autoSpaceDN w:val="0"/>
            <w:adjustRightInd w:val="0"/>
            <w:spacing w:after="0" w:line="240" w:lineRule="auto"/>
            <w:rPr>
              <w:rFonts w:ascii="Times New Roman" w:hAnsi="Times New Roman"/>
              <w:kern w:val="0"/>
            </w:rPr>
          </w:pPr>
        </w:p>
      </w:tc>
    </w:tr>
  </w:tbl>
  <w:p w14:paraId="2EE6F70A" w14:textId="77777777" w:rsidR="002575C6" w:rsidRDefault="002575C6">
    <w:pPr>
      <w:autoSpaceDE w:val="0"/>
      <w:autoSpaceDN w:val="0"/>
      <w:adjustRightInd w:val="0"/>
      <w:spacing w:after="0" w:line="240" w:lineRule="atLeast"/>
      <w:rPr>
        <w:rFonts w:ascii="Times New Roman" w:hAnsi="Times New Roman"/>
        <w:kern w:val="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5ACF"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26C74EE1"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101872C5"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14F7B28E"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33</w:t>
          </w:r>
        </w:p>
      </w:tc>
      <w:tc>
        <w:tcPr>
          <w:tcW w:w="2710" w:type="dxa"/>
          <w:tcBorders>
            <w:top w:val="nil"/>
            <w:left w:val="nil"/>
            <w:bottom w:val="nil"/>
            <w:right w:val="nil"/>
          </w:tcBorders>
          <w:shd w:val="clear" w:color="auto" w:fill="FFFFFF"/>
          <w:vAlign w:val="bottom"/>
        </w:tcPr>
        <w:p w14:paraId="7D89B3E5" w14:textId="77777777" w:rsidR="002575C6" w:rsidRDefault="002575C6">
          <w:pPr>
            <w:autoSpaceDE w:val="0"/>
            <w:autoSpaceDN w:val="0"/>
            <w:adjustRightInd w:val="0"/>
            <w:spacing w:after="0" w:line="240" w:lineRule="auto"/>
            <w:rPr>
              <w:rFonts w:ascii="Times New Roman" w:hAnsi="Times New Roman"/>
              <w:kern w:val="0"/>
            </w:rPr>
          </w:pPr>
        </w:p>
      </w:tc>
    </w:tr>
  </w:tbl>
  <w:p w14:paraId="4729DCCA" w14:textId="77777777" w:rsidR="002575C6" w:rsidRDefault="002575C6">
    <w:pPr>
      <w:autoSpaceDE w:val="0"/>
      <w:autoSpaceDN w:val="0"/>
      <w:adjustRightInd w:val="0"/>
      <w:spacing w:after="0" w:line="240" w:lineRule="atLeast"/>
      <w:rPr>
        <w:rFonts w:ascii="Times New Roman" w:hAnsi="Times New Roman"/>
        <w:kern w:val="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13D2"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2F4DAF67"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6AF9444A"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77BDC563"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34</w:t>
          </w:r>
        </w:p>
      </w:tc>
      <w:tc>
        <w:tcPr>
          <w:tcW w:w="2710" w:type="dxa"/>
          <w:tcBorders>
            <w:top w:val="nil"/>
            <w:left w:val="nil"/>
            <w:bottom w:val="nil"/>
            <w:right w:val="nil"/>
          </w:tcBorders>
          <w:shd w:val="clear" w:color="auto" w:fill="FFFFFF"/>
          <w:vAlign w:val="bottom"/>
        </w:tcPr>
        <w:p w14:paraId="464A6691" w14:textId="77777777" w:rsidR="002575C6" w:rsidRDefault="002575C6">
          <w:pPr>
            <w:autoSpaceDE w:val="0"/>
            <w:autoSpaceDN w:val="0"/>
            <w:adjustRightInd w:val="0"/>
            <w:spacing w:after="0" w:line="240" w:lineRule="auto"/>
            <w:rPr>
              <w:rFonts w:ascii="Times New Roman" w:hAnsi="Times New Roman"/>
              <w:kern w:val="0"/>
            </w:rPr>
          </w:pPr>
        </w:p>
      </w:tc>
    </w:tr>
  </w:tbl>
  <w:p w14:paraId="524EDD61" w14:textId="77777777" w:rsidR="002575C6" w:rsidRDefault="002575C6">
    <w:pPr>
      <w:autoSpaceDE w:val="0"/>
      <w:autoSpaceDN w:val="0"/>
      <w:adjustRightInd w:val="0"/>
      <w:spacing w:after="0" w:line="240" w:lineRule="atLeast"/>
      <w:rPr>
        <w:rFonts w:ascii="Times New Roman" w:hAnsi="Times New Roman"/>
        <w:kern w:val="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6B0E"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4FD6D03"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61A9CBEE"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4A014D1E"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35</w:t>
          </w:r>
        </w:p>
      </w:tc>
      <w:tc>
        <w:tcPr>
          <w:tcW w:w="2710" w:type="dxa"/>
          <w:tcBorders>
            <w:top w:val="nil"/>
            <w:left w:val="nil"/>
            <w:bottom w:val="nil"/>
            <w:right w:val="nil"/>
          </w:tcBorders>
          <w:shd w:val="clear" w:color="auto" w:fill="FFFFFF"/>
          <w:vAlign w:val="bottom"/>
        </w:tcPr>
        <w:p w14:paraId="2EF841B4" w14:textId="77777777" w:rsidR="002575C6" w:rsidRDefault="002575C6">
          <w:pPr>
            <w:autoSpaceDE w:val="0"/>
            <w:autoSpaceDN w:val="0"/>
            <w:adjustRightInd w:val="0"/>
            <w:spacing w:after="0" w:line="240" w:lineRule="auto"/>
            <w:rPr>
              <w:rFonts w:ascii="Times New Roman" w:hAnsi="Times New Roman"/>
              <w:kern w:val="0"/>
            </w:rPr>
          </w:pPr>
        </w:p>
      </w:tc>
    </w:tr>
  </w:tbl>
  <w:p w14:paraId="094BBEAC" w14:textId="77777777" w:rsidR="002575C6" w:rsidRDefault="002575C6">
    <w:pPr>
      <w:autoSpaceDE w:val="0"/>
      <w:autoSpaceDN w:val="0"/>
      <w:adjustRightInd w:val="0"/>
      <w:spacing w:after="0" w:line="240" w:lineRule="atLeast"/>
      <w:rPr>
        <w:rFonts w:ascii="Times New Roman" w:hAnsi="Times New Roman"/>
        <w:kern w:val="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0C09"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D3A8B8D"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3B407F00"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3454F2A6"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36</w:t>
          </w:r>
        </w:p>
      </w:tc>
      <w:tc>
        <w:tcPr>
          <w:tcW w:w="2710" w:type="dxa"/>
          <w:tcBorders>
            <w:top w:val="nil"/>
            <w:left w:val="nil"/>
            <w:bottom w:val="nil"/>
            <w:right w:val="nil"/>
          </w:tcBorders>
          <w:shd w:val="clear" w:color="auto" w:fill="FFFFFF"/>
          <w:vAlign w:val="bottom"/>
        </w:tcPr>
        <w:p w14:paraId="39EDA75E" w14:textId="77777777" w:rsidR="002575C6" w:rsidRDefault="002575C6">
          <w:pPr>
            <w:autoSpaceDE w:val="0"/>
            <w:autoSpaceDN w:val="0"/>
            <w:adjustRightInd w:val="0"/>
            <w:spacing w:after="0" w:line="240" w:lineRule="auto"/>
            <w:rPr>
              <w:rFonts w:ascii="Times New Roman" w:hAnsi="Times New Roman"/>
              <w:kern w:val="0"/>
            </w:rPr>
          </w:pPr>
        </w:p>
      </w:tc>
    </w:tr>
  </w:tbl>
  <w:p w14:paraId="7A088838" w14:textId="77777777" w:rsidR="002575C6" w:rsidRDefault="002575C6">
    <w:pPr>
      <w:autoSpaceDE w:val="0"/>
      <w:autoSpaceDN w:val="0"/>
      <w:adjustRightInd w:val="0"/>
      <w:spacing w:after="0" w:line="240" w:lineRule="atLeast"/>
      <w:rPr>
        <w:rFonts w:ascii="Times New Roman" w:hAnsi="Times New Roman"/>
        <w:kern w:val="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60D9"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916A860"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223E341C"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4761D064"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37</w:t>
          </w:r>
        </w:p>
      </w:tc>
      <w:tc>
        <w:tcPr>
          <w:tcW w:w="2710" w:type="dxa"/>
          <w:tcBorders>
            <w:top w:val="nil"/>
            <w:left w:val="nil"/>
            <w:bottom w:val="nil"/>
            <w:right w:val="nil"/>
          </w:tcBorders>
          <w:shd w:val="clear" w:color="auto" w:fill="FFFFFF"/>
          <w:vAlign w:val="bottom"/>
        </w:tcPr>
        <w:p w14:paraId="0E846B57" w14:textId="77777777" w:rsidR="002575C6" w:rsidRDefault="002575C6">
          <w:pPr>
            <w:autoSpaceDE w:val="0"/>
            <w:autoSpaceDN w:val="0"/>
            <w:adjustRightInd w:val="0"/>
            <w:spacing w:after="0" w:line="240" w:lineRule="auto"/>
            <w:rPr>
              <w:rFonts w:ascii="Times New Roman" w:hAnsi="Times New Roman"/>
              <w:kern w:val="0"/>
            </w:rPr>
          </w:pPr>
        </w:p>
      </w:tc>
    </w:tr>
  </w:tbl>
  <w:p w14:paraId="45460E17" w14:textId="77777777" w:rsidR="002575C6" w:rsidRDefault="002575C6">
    <w:pPr>
      <w:autoSpaceDE w:val="0"/>
      <w:autoSpaceDN w:val="0"/>
      <w:adjustRightInd w:val="0"/>
      <w:spacing w:after="0" w:line="240" w:lineRule="atLeast"/>
      <w:rPr>
        <w:rFonts w:ascii="Times New Roman" w:hAnsi="Times New Roman"/>
        <w:kern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2357"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DE4A347"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5A349BB8"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F46B6E4"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w:t>
          </w:r>
        </w:p>
      </w:tc>
      <w:tc>
        <w:tcPr>
          <w:tcW w:w="2710" w:type="dxa"/>
          <w:tcBorders>
            <w:top w:val="nil"/>
            <w:left w:val="nil"/>
            <w:bottom w:val="nil"/>
            <w:right w:val="nil"/>
          </w:tcBorders>
          <w:shd w:val="clear" w:color="auto" w:fill="FFFFFF"/>
          <w:vAlign w:val="bottom"/>
        </w:tcPr>
        <w:p w14:paraId="46E30286" w14:textId="77777777" w:rsidR="002575C6" w:rsidRDefault="002575C6">
          <w:pPr>
            <w:autoSpaceDE w:val="0"/>
            <w:autoSpaceDN w:val="0"/>
            <w:adjustRightInd w:val="0"/>
            <w:spacing w:after="0" w:line="240" w:lineRule="auto"/>
            <w:rPr>
              <w:rFonts w:ascii="Times New Roman" w:hAnsi="Times New Roman"/>
              <w:kern w:val="0"/>
            </w:rPr>
          </w:pPr>
        </w:p>
      </w:tc>
    </w:tr>
  </w:tbl>
  <w:p w14:paraId="1758910B" w14:textId="77777777" w:rsidR="002575C6" w:rsidRDefault="002575C6">
    <w:pPr>
      <w:autoSpaceDE w:val="0"/>
      <w:autoSpaceDN w:val="0"/>
      <w:adjustRightInd w:val="0"/>
      <w:spacing w:after="0" w:line="240" w:lineRule="atLeast"/>
      <w:rPr>
        <w:rFonts w:ascii="Times New Roman" w:hAnsi="Times New Roman"/>
        <w:kern w:val="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1143"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7EC6A768"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68C0275B"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EB2BD2E"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38</w:t>
          </w:r>
        </w:p>
      </w:tc>
      <w:tc>
        <w:tcPr>
          <w:tcW w:w="2710" w:type="dxa"/>
          <w:tcBorders>
            <w:top w:val="nil"/>
            <w:left w:val="nil"/>
            <w:bottom w:val="nil"/>
            <w:right w:val="nil"/>
          </w:tcBorders>
          <w:shd w:val="clear" w:color="auto" w:fill="FFFFFF"/>
          <w:vAlign w:val="bottom"/>
        </w:tcPr>
        <w:p w14:paraId="1A104F80" w14:textId="77777777" w:rsidR="002575C6" w:rsidRDefault="002575C6">
          <w:pPr>
            <w:autoSpaceDE w:val="0"/>
            <w:autoSpaceDN w:val="0"/>
            <w:adjustRightInd w:val="0"/>
            <w:spacing w:after="0" w:line="240" w:lineRule="auto"/>
            <w:rPr>
              <w:rFonts w:ascii="Times New Roman" w:hAnsi="Times New Roman"/>
              <w:kern w:val="0"/>
            </w:rPr>
          </w:pPr>
        </w:p>
      </w:tc>
    </w:tr>
  </w:tbl>
  <w:p w14:paraId="26112CAE" w14:textId="77777777" w:rsidR="002575C6" w:rsidRDefault="002575C6">
    <w:pPr>
      <w:autoSpaceDE w:val="0"/>
      <w:autoSpaceDN w:val="0"/>
      <w:adjustRightInd w:val="0"/>
      <w:spacing w:after="0" w:line="240" w:lineRule="atLeast"/>
      <w:rPr>
        <w:rFonts w:ascii="Times New Roman" w:hAnsi="Times New Roman"/>
        <w:kern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8000"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5330C77"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72F48273"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93D58C2"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w:t>
          </w:r>
        </w:p>
      </w:tc>
      <w:tc>
        <w:tcPr>
          <w:tcW w:w="2710" w:type="dxa"/>
          <w:tcBorders>
            <w:top w:val="nil"/>
            <w:left w:val="nil"/>
            <w:bottom w:val="nil"/>
            <w:right w:val="nil"/>
          </w:tcBorders>
          <w:shd w:val="clear" w:color="auto" w:fill="FFFFFF"/>
          <w:vAlign w:val="bottom"/>
        </w:tcPr>
        <w:p w14:paraId="3182E25E" w14:textId="77777777" w:rsidR="002575C6" w:rsidRDefault="002575C6">
          <w:pPr>
            <w:autoSpaceDE w:val="0"/>
            <w:autoSpaceDN w:val="0"/>
            <w:adjustRightInd w:val="0"/>
            <w:spacing w:after="0" w:line="240" w:lineRule="auto"/>
            <w:rPr>
              <w:rFonts w:ascii="Times New Roman" w:hAnsi="Times New Roman"/>
              <w:kern w:val="0"/>
            </w:rPr>
          </w:pPr>
        </w:p>
      </w:tc>
    </w:tr>
  </w:tbl>
  <w:p w14:paraId="1271DC51" w14:textId="77777777" w:rsidR="002575C6" w:rsidRDefault="002575C6">
    <w:pPr>
      <w:autoSpaceDE w:val="0"/>
      <w:autoSpaceDN w:val="0"/>
      <w:adjustRightInd w:val="0"/>
      <w:spacing w:after="0" w:line="240" w:lineRule="atLeast"/>
      <w:rPr>
        <w:rFonts w:ascii="Times New Roman" w:hAnsi="Times New Roman"/>
        <w:kern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6C3B"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37BA5C9F"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38E0046D"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0516A025"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4</w:t>
          </w:r>
        </w:p>
      </w:tc>
      <w:tc>
        <w:tcPr>
          <w:tcW w:w="2710" w:type="dxa"/>
          <w:tcBorders>
            <w:top w:val="nil"/>
            <w:left w:val="nil"/>
            <w:bottom w:val="nil"/>
            <w:right w:val="nil"/>
          </w:tcBorders>
          <w:shd w:val="clear" w:color="auto" w:fill="FFFFFF"/>
          <w:vAlign w:val="bottom"/>
        </w:tcPr>
        <w:p w14:paraId="500A570D" w14:textId="77777777" w:rsidR="002575C6" w:rsidRDefault="002575C6">
          <w:pPr>
            <w:autoSpaceDE w:val="0"/>
            <w:autoSpaceDN w:val="0"/>
            <w:adjustRightInd w:val="0"/>
            <w:spacing w:after="0" w:line="240" w:lineRule="auto"/>
            <w:rPr>
              <w:rFonts w:ascii="Times New Roman" w:hAnsi="Times New Roman"/>
              <w:kern w:val="0"/>
            </w:rPr>
          </w:pPr>
        </w:p>
      </w:tc>
    </w:tr>
  </w:tbl>
  <w:p w14:paraId="038023DF" w14:textId="77777777" w:rsidR="002575C6" w:rsidRDefault="002575C6">
    <w:pPr>
      <w:autoSpaceDE w:val="0"/>
      <w:autoSpaceDN w:val="0"/>
      <w:adjustRightInd w:val="0"/>
      <w:spacing w:after="0" w:line="240" w:lineRule="atLeast"/>
      <w:rPr>
        <w:rFonts w:ascii="Times New Roman" w:hAnsi="Times New Roman"/>
        <w:kern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03CF"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7B3F7D72"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1172F764"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02896CFB"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5</w:t>
          </w:r>
        </w:p>
      </w:tc>
      <w:tc>
        <w:tcPr>
          <w:tcW w:w="2710" w:type="dxa"/>
          <w:tcBorders>
            <w:top w:val="nil"/>
            <w:left w:val="nil"/>
            <w:bottom w:val="nil"/>
            <w:right w:val="nil"/>
          </w:tcBorders>
          <w:shd w:val="clear" w:color="auto" w:fill="FFFFFF"/>
          <w:vAlign w:val="bottom"/>
        </w:tcPr>
        <w:p w14:paraId="6D268EC1" w14:textId="77777777" w:rsidR="002575C6" w:rsidRDefault="002575C6">
          <w:pPr>
            <w:autoSpaceDE w:val="0"/>
            <w:autoSpaceDN w:val="0"/>
            <w:adjustRightInd w:val="0"/>
            <w:spacing w:after="0" w:line="240" w:lineRule="auto"/>
            <w:rPr>
              <w:rFonts w:ascii="Times New Roman" w:hAnsi="Times New Roman"/>
              <w:kern w:val="0"/>
            </w:rPr>
          </w:pPr>
        </w:p>
      </w:tc>
    </w:tr>
  </w:tbl>
  <w:p w14:paraId="4DBC6E95" w14:textId="77777777" w:rsidR="002575C6" w:rsidRDefault="002575C6">
    <w:pPr>
      <w:autoSpaceDE w:val="0"/>
      <w:autoSpaceDN w:val="0"/>
      <w:adjustRightInd w:val="0"/>
      <w:spacing w:after="0" w:line="240" w:lineRule="atLeast"/>
      <w:rPr>
        <w:rFonts w:ascii="Times New Roman" w:hAnsi="Times New Roman"/>
        <w:kern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F832"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7F3F6786"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0E7C8330"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59C186ED"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6</w:t>
          </w:r>
        </w:p>
      </w:tc>
      <w:tc>
        <w:tcPr>
          <w:tcW w:w="2710" w:type="dxa"/>
          <w:tcBorders>
            <w:top w:val="nil"/>
            <w:left w:val="nil"/>
            <w:bottom w:val="nil"/>
            <w:right w:val="nil"/>
          </w:tcBorders>
          <w:shd w:val="clear" w:color="auto" w:fill="FFFFFF"/>
          <w:vAlign w:val="bottom"/>
        </w:tcPr>
        <w:p w14:paraId="70621EAB" w14:textId="77777777" w:rsidR="002575C6" w:rsidRDefault="002575C6">
          <w:pPr>
            <w:autoSpaceDE w:val="0"/>
            <w:autoSpaceDN w:val="0"/>
            <w:adjustRightInd w:val="0"/>
            <w:spacing w:after="0" w:line="240" w:lineRule="auto"/>
            <w:rPr>
              <w:rFonts w:ascii="Times New Roman" w:hAnsi="Times New Roman"/>
              <w:kern w:val="0"/>
            </w:rPr>
          </w:pPr>
        </w:p>
      </w:tc>
    </w:tr>
  </w:tbl>
  <w:p w14:paraId="3E7384FA" w14:textId="77777777" w:rsidR="002575C6" w:rsidRDefault="002575C6">
    <w:pPr>
      <w:autoSpaceDE w:val="0"/>
      <w:autoSpaceDN w:val="0"/>
      <w:adjustRightInd w:val="0"/>
      <w:spacing w:after="0" w:line="240" w:lineRule="atLeast"/>
      <w:rPr>
        <w:rFonts w:ascii="Times New Roman" w:hAnsi="Times New Roman"/>
        <w:kern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CFC1"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25EE1335" w14:textId="77777777">
      <w:tblPrEx>
        <w:tblCellMar>
          <w:top w:w="0" w:type="dxa"/>
          <w:left w:w="0" w:type="dxa"/>
          <w:bottom w:w="0" w:type="dxa"/>
          <w:right w:w="0" w:type="dxa"/>
        </w:tblCellMar>
      </w:tblPrEx>
      <w:tc>
        <w:tcPr>
          <w:tcW w:w="2710" w:type="dxa"/>
          <w:tcBorders>
            <w:top w:val="nil"/>
            <w:left w:val="nil"/>
            <w:bottom w:val="nil"/>
            <w:right w:val="nil"/>
          </w:tcBorders>
          <w:shd w:val="clear" w:color="auto" w:fill="FFFFFF"/>
          <w:vAlign w:val="bottom"/>
        </w:tcPr>
        <w:p w14:paraId="182902D8"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785EE93D"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7</w:t>
          </w:r>
        </w:p>
      </w:tc>
      <w:tc>
        <w:tcPr>
          <w:tcW w:w="2710" w:type="dxa"/>
          <w:tcBorders>
            <w:top w:val="nil"/>
            <w:left w:val="nil"/>
            <w:bottom w:val="nil"/>
            <w:right w:val="nil"/>
          </w:tcBorders>
          <w:shd w:val="clear" w:color="auto" w:fill="FFFFFF"/>
          <w:vAlign w:val="bottom"/>
        </w:tcPr>
        <w:p w14:paraId="6C26C204" w14:textId="77777777" w:rsidR="002575C6" w:rsidRDefault="002575C6">
          <w:pPr>
            <w:autoSpaceDE w:val="0"/>
            <w:autoSpaceDN w:val="0"/>
            <w:adjustRightInd w:val="0"/>
            <w:spacing w:after="0" w:line="240" w:lineRule="auto"/>
            <w:rPr>
              <w:rFonts w:ascii="Times New Roman" w:hAnsi="Times New Roman"/>
              <w:kern w:val="0"/>
            </w:rPr>
          </w:pPr>
        </w:p>
      </w:tc>
    </w:tr>
  </w:tbl>
  <w:p w14:paraId="3963A68E" w14:textId="77777777" w:rsidR="002575C6" w:rsidRDefault="002575C6">
    <w:pPr>
      <w:autoSpaceDE w:val="0"/>
      <w:autoSpaceDN w:val="0"/>
      <w:adjustRightInd w:val="0"/>
      <w:spacing w:after="0" w:line="240" w:lineRule="atLeast"/>
      <w:rPr>
        <w:rFonts w:ascii="Times New Roman" w:hAnsi="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4C2C" w14:textId="77777777" w:rsidR="002575C6" w:rsidRDefault="002575C6">
      <w:pPr>
        <w:spacing w:after="0" w:line="240" w:lineRule="auto"/>
      </w:pPr>
      <w:r>
        <w:separator/>
      </w:r>
    </w:p>
  </w:footnote>
  <w:footnote w:type="continuationSeparator" w:id="0">
    <w:p w14:paraId="0B979213" w14:textId="77777777" w:rsidR="002575C6" w:rsidRDefault="002575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F5"/>
    <w:rsid w:val="001818F5"/>
    <w:rsid w:val="002575C6"/>
    <w:rsid w:val="004D18B0"/>
    <w:rsid w:val="00571AC5"/>
    <w:rsid w:val="00763C25"/>
    <w:rsid w:val="007C26CD"/>
    <w:rsid w:val="00AB4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D1832D"/>
  <w14:defaultImageDpi w14:val="0"/>
  <w15:docId w15:val="{01BC3F2E-66BF-4FE1-BC33-204913B5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39" Type="http://schemas.openxmlformats.org/officeDocument/2006/relationships/footer" Target="footer32.xml"/><Relationship Id="rId21" Type="http://schemas.openxmlformats.org/officeDocument/2006/relationships/footer" Target="footer16.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footer" Target="footer40.xml"/><Relationship Id="rId50" Type="http://schemas.openxmlformats.org/officeDocument/2006/relationships/customXml" Target="../customXml/item1.xml"/><Relationship Id="rId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1.xml"/><Relationship Id="rId29" Type="http://schemas.openxmlformats.org/officeDocument/2006/relationships/footer" Target="footer23.xml"/><Relationship Id="rId11" Type="http://schemas.openxmlformats.org/officeDocument/2006/relationships/footer" Target="footer6.xml"/><Relationship Id="rId24" Type="http://schemas.openxmlformats.org/officeDocument/2006/relationships/footer" Target="footer19.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8.xml"/><Relationship Id="rId5" Type="http://schemas.openxmlformats.org/officeDocument/2006/relationships/endnotes" Target="endnotes.xml"/><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image" Target="media/image1.png"/><Relationship Id="rId36" Type="http://schemas.openxmlformats.org/officeDocument/2006/relationships/footer" Target="footer29.xml"/><Relationship Id="rId49" Type="http://schemas.openxmlformats.org/officeDocument/2006/relationships/theme" Target="theme/theme1.xml"/><Relationship Id="rId10" Type="http://schemas.openxmlformats.org/officeDocument/2006/relationships/footer" Target="footer5.xml"/><Relationship Id="rId19" Type="http://schemas.openxmlformats.org/officeDocument/2006/relationships/footer" Target="footer14.xml"/><Relationship Id="rId31" Type="http://schemas.openxmlformats.org/officeDocument/2006/relationships/footer" Target="footer24.xml"/><Relationship Id="rId44" Type="http://schemas.openxmlformats.org/officeDocument/2006/relationships/footer" Target="footer37.xml"/><Relationship Id="rId52"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oter" Target="footer22.xml"/><Relationship Id="rId30" Type="http://schemas.openxmlformats.org/officeDocument/2006/relationships/image" Target="media/image2.png"/><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ntTable" Target="fontTable.xml"/><Relationship Id="rId8" Type="http://schemas.openxmlformats.org/officeDocument/2006/relationships/footer" Target="footer3.xml"/><Relationship Id="rId51"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20" Type="http://schemas.openxmlformats.org/officeDocument/2006/relationships/footer" Target="footer15.xml"/><Relationship Id="rId41" Type="http://schemas.openxmlformats.org/officeDocument/2006/relationships/footer" Target="footer34.xml"/><Relationship Id="rId1"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0EF9272FF7794BA9A4F7EBCB9CC6AB" ma:contentTypeVersion="18" ma:contentTypeDescription="Create a new document." ma:contentTypeScope="" ma:versionID="d6eee66b90a80debdd75558ebc640fe4">
  <xsd:schema xmlns:xsd="http://www.w3.org/2001/XMLSchema" xmlns:xs="http://www.w3.org/2001/XMLSchema" xmlns:p="http://schemas.microsoft.com/office/2006/metadata/properties" xmlns:ns2="64aefefc-ab84-4a8f-84ef-9088e0e0a309" xmlns:ns3="b6a22d83-2d34-4492-80e7-7fac42ccfd0d" targetNamespace="http://schemas.microsoft.com/office/2006/metadata/properties" ma:root="true" ma:fieldsID="69594f15016f277a7075949ff7ec4cc5" ns2:_="" ns3:_="">
    <xsd:import namespace="64aefefc-ab84-4a8f-84ef-9088e0e0a309"/>
    <xsd:import namespace="b6a22d83-2d34-4492-80e7-7fac42ccf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efefc-ab84-4a8f-84ef-9088e0e0a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c10b86-3c7a-458c-899f-c539ea219cf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22d83-2d34-4492-80e7-7fac42ccfd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12268b-1c92-49d2-bd32-b814fc597db3}" ma:internalName="TaxCatchAll" ma:showField="CatchAllData" ma:web="b6a22d83-2d34-4492-80e7-7fac42ccf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a22d83-2d34-4492-80e7-7fac42ccfd0d" xsi:nil="true"/>
    <lcf76f155ced4ddcb4097134ff3c332f xmlns="64aefefc-ab84-4a8f-84ef-9088e0e0a3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A1C950-AD89-4D79-8F3E-BD567650C3AB}"/>
</file>

<file path=customXml/itemProps2.xml><?xml version="1.0" encoding="utf-8"?>
<ds:datastoreItem xmlns:ds="http://schemas.openxmlformats.org/officeDocument/2006/customXml" ds:itemID="{A08B72A8-8C1C-4EC8-A6D9-9FC050C832E0}"/>
</file>

<file path=customXml/itemProps3.xml><?xml version="1.0" encoding="utf-8"?>
<ds:datastoreItem xmlns:ds="http://schemas.openxmlformats.org/officeDocument/2006/customXml" ds:itemID="{82C8573A-ABE2-48F3-8DD0-A864789B3935}"/>
</file>

<file path=docProps/app.xml><?xml version="1.0" encoding="utf-8"?>
<Properties xmlns="http://schemas.openxmlformats.org/officeDocument/2006/extended-properties" xmlns:vt="http://schemas.openxmlformats.org/officeDocument/2006/docPropsVTypes">
  <Template>Normal</Template>
  <TotalTime>1</TotalTime>
  <Pages>40</Pages>
  <Words>10834</Words>
  <Characters>61083</Characters>
  <Application>Microsoft Office Word</Application>
  <DocSecurity>0</DocSecurity>
  <Lines>2181</Lines>
  <Paragraphs>1467</Paragraphs>
  <ScaleCrop>false</ScaleCrop>
  <Company/>
  <LinksUpToDate>false</LinksUpToDate>
  <CharactersWithSpaces>70450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Williams</dc:creator>
  <cp:keywords/>
  <dc:description/>
  <cp:lastModifiedBy>Natalie  Braunton</cp:lastModifiedBy>
  <cp:revision>3</cp:revision>
  <dcterms:created xsi:type="dcterms:W3CDTF">2025-10-23T14:26:00Z</dcterms:created>
  <dcterms:modified xsi:type="dcterms:W3CDTF">2025-10-23T14:26:00Z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0x010100630EF9272FF7794BA9A4F7EBCB9CC6AB</vt:lpwstr>
  </property>
</Properties>
</file>